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bookmarkStart w:id="0" w:name="_Toc342569600"/>
      <w:bookmarkStart w:id="1" w:name="_Toc433032235"/>
      <w:bookmarkStart w:id="2" w:name="_Toc432412848"/>
    </w:p>
    <w:p>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p>
    <w:p>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r>
        <w:rPr>
          <w:rFonts w:hint="eastAsia" w:ascii="方正小标宋_GBK" w:hAnsi="方正小标宋_GBK" w:eastAsia="方正小标宋_GBK" w:cs="方正小标宋_GBK"/>
          <w:bCs/>
          <w:color w:val="auto"/>
          <w:sz w:val="44"/>
          <w:szCs w:val="44"/>
          <w:highlight w:val="none"/>
          <w:u w:val="none"/>
          <w:lang w:val="en-US" w:eastAsia="zh-CN"/>
        </w:rPr>
        <w:t>垫江县小厦建筑有限公司项目广告及标识标牌</w:t>
      </w:r>
    </w:p>
    <w:p>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rPr>
      </w:pPr>
      <w:r>
        <w:rPr>
          <w:rFonts w:hint="eastAsia" w:ascii="方正小标宋_GBK" w:hAnsi="方正小标宋_GBK" w:eastAsia="方正小标宋_GBK" w:cs="方正小标宋_GBK"/>
          <w:bCs/>
          <w:color w:val="auto"/>
          <w:sz w:val="44"/>
          <w:szCs w:val="44"/>
          <w:highlight w:val="none"/>
          <w:u w:val="none"/>
          <w:lang w:val="en-US" w:eastAsia="zh-CN"/>
        </w:rPr>
        <w:t>供应商征集</w:t>
      </w:r>
      <w:r>
        <w:rPr>
          <w:rFonts w:hint="eastAsia" w:ascii="方正小标宋_GBK" w:hAnsi="方正小标宋_GBK" w:eastAsia="方正小标宋_GBK" w:cs="方正小标宋_GBK"/>
          <w:bCs/>
          <w:color w:val="auto"/>
          <w:sz w:val="44"/>
          <w:szCs w:val="44"/>
          <w:highlight w:val="none"/>
        </w:rPr>
        <w:t>公告</w:t>
      </w:r>
    </w:p>
    <w:p>
      <w:pPr>
        <w:shd w:val="clear" w:color="auto" w:fill="FFFFFF"/>
        <w:spacing w:line="720" w:lineRule="auto"/>
        <w:rPr>
          <w:rFonts w:ascii="宋体" w:hAnsi="宋体"/>
          <w:b/>
          <w:color w:val="auto"/>
          <w:sz w:val="44"/>
          <w:highlight w:val="none"/>
        </w:rPr>
      </w:pPr>
    </w:p>
    <w:p>
      <w:pPr>
        <w:shd w:val="clear" w:color="auto" w:fill="FFFFFF"/>
        <w:spacing w:line="720" w:lineRule="auto"/>
        <w:rPr>
          <w:rFonts w:ascii="宋体" w:hAnsi="宋体"/>
          <w:color w:val="auto"/>
          <w:sz w:val="44"/>
          <w:highlight w:val="none"/>
        </w:rPr>
      </w:pPr>
    </w:p>
    <w:p>
      <w:pPr>
        <w:pStyle w:val="2"/>
        <w:rPr>
          <w:rFonts w:ascii="宋体" w:hAnsi="宋体"/>
          <w:color w:val="auto"/>
          <w:sz w:val="44"/>
          <w:highlight w:val="none"/>
        </w:rPr>
      </w:pPr>
    </w:p>
    <w:p>
      <w:pPr>
        <w:rPr>
          <w:rFonts w:ascii="宋体" w:hAnsi="宋体"/>
          <w:color w:val="auto"/>
          <w:sz w:val="44"/>
          <w:highlight w:val="none"/>
        </w:rPr>
      </w:pPr>
    </w:p>
    <w:p>
      <w:pPr>
        <w:pStyle w:val="2"/>
        <w:rPr>
          <w:rFonts w:ascii="宋体" w:hAnsi="宋体"/>
          <w:color w:val="auto"/>
          <w:sz w:val="44"/>
          <w:highlight w:val="none"/>
        </w:rPr>
      </w:pPr>
    </w:p>
    <w:p>
      <w:pPr>
        <w:rPr>
          <w:rFonts w:ascii="宋体" w:hAnsi="宋体"/>
          <w:color w:val="auto"/>
          <w:sz w:val="44"/>
          <w:highlight w:val="none"/>
        </w:rPr>
      </w:pPr>
    </w:p>
    <w:p>
      <w:pPr>
        <w:pStyle w:val="2"/>
        <w:rPr>
          <w:rFonts w:ascii="宋体" w:hAnsi="宋体"/>
          <w:color w:val="auto"/>
          <w:sz w:val="44"/>
          <w:highlight w:val="none"/>
        </w:rPr>
      </w:pPr>
    </w:p>
    <w:p>
      <w:pPr>
        <w:rPr>
          <w:color w:val="auto"/>
          <w:highlight w:val="none"/>
        </w:rPr>
      </w:pPr>
    </w:p>
    <w:p>
      <w:pPr>
        <w:tabs>
          <w:tab w:val="left" w:pos="6201"/>
        </w:tabs>
        <w:jc w:val="center"/>
        <w:rPr>
          <w:rFonts w:hint="eastAsia" w:ascii="宋体" w:hAnsi="宋体"/>
          <w:bCs/>
          <w:color w:val="auto"/>
          <w:sz w:val="36"/>
          <w:highlight w:val="none"/>
        </w:rPr>
      </w:pPr>
      <w:r>
        <w:rPr>
          <w:rFonts w:hint="eastAsia" w:ascii="宋体" w:hAnsi="宋体"/>
          <w:bCs/>
          <w:color w:val="auto"/>
          <w:sz w:val="36"/>
          <w:highlight w:val="none"/>
          <w:lang w:eastAsia="zh-CN"/>
        </w:rPr>
        <w:t>采购人</w:t>
      </w:r>
      <w:r>
        <w:rPr>
          <w:rFonts w:ascii="宋体" w:hAnsi="宋体"/>
          <w:bCs/>
          <w:color w:val="auto"/>
          <w:sz w:val="36"/>
          <w:highlight w:val="none"/>
        </w:rPr>
        <w:t>：</w:t>
      </w:r>
      <w:r>
        <w:rPr>
          <w:rFonts w:hint="eastAsia" w:ascii="宋体" w:hAnsi="宋体"/>
          <w:bCs/>
          <w:color w:val="auto"/>
          <w:sz w:val="36"/>
          <w:highlight w:val="none"/>
        </w:rPr>
        <w:t>垫江县小厦建筑有限公司</w:t>
      </w:r>
    </w:p>
    <w:p>
      <w:pPr>
        <w:tabs>
          <w:tab w:val="left" w:pos="6201"/>
        </w:tabs>
        <w:jc w:val="center"/>
        <w:rPr>
          <w:rFonts w:hint="eastAsia" w:ascii="宋体" w:hAnsi="宋体"/>
          <w:bCs/>
          <w:color w:val="auto"/>
          <w:sz w:val="32"/>
          <w:szCs w:val="32"/>
          <w:highlight w:val="none"/>
          <w:u w:val="single"/>
        </w:rPr>
      </w:pPr>
    </w:p>
    <w:p>
      <w:pPr>
        <w:tabs>
          <w:tab w:val="left" w:pos="6201"/>
        </w:tabs>
        <w:jc w:val="center"/>
        <w:rPr>
          <w:rFonts w:ascii="宋体" w:hAnsi="宋体"/>
          <w:bCs/>
          <w:color w:val="auto"/>
          <w:highlight w:val="none"/>
        </w:rPr>
      </w:pPr>
      <w:r>
        <w:rPr>
          <w:rFonts w:hint="eastAsia" w:ascii="宋体" w:hAnsi="宋体"/>
          <w:bCs/>
          <w:color w:val="auto"/>
          <w:sz w:val="32"/>
          <w:szCs w:val="32"/>
          <w:highlight w:val="none"/>
          <w:u w:val="single"/>
        </w:rPr>
        <w:t>202</w:t>
      </w:r>
      <w:r>
        <w:rPr>
          <w:rFonts w:hint="eastAsia" w:ascii="宋体" w:hAnsi="宋体"/>
          <w:bCs/>
          <w:color w:val="auto"/>
          <w:sz w:val="32"/>
          <w:szCs w:val="32"/>
          <w:highlight w:val="none"/>
          <w:u w:val="single"/>
          <w:lang w:val="en-US" w:eastAsia="zh-CN"/>
        </w:rPr>
        <w:t>4</w:t>
      </w:r>
      <w:r>
        <w:rPr>
          <w:rFonts w:ascii="宋体" w:hAnsi="宋体"/>
          <w:bCs/>
          <w:color w:val="auto"/>
          <w:sz w:val="32"/>
          <w:szCs w:val="32"/>
          <w:highlight w:val="none"/>
        </w:rPr>
        <w:t>年</w:t>
      </w:r>
      <w:r>
        <w:rPr>
          <w:rFonts w:hint="eastAsia" w:ascii="宋体" w:hAnsi="宋体"/>
          <w:bCs/>
          <w:color w:val="auto"/>
          <w:sz w:val="32"/>
          <w:szCs w:val="32"/>
          <w:highlight w:val="none"/>
          <w:u w:val="single"/>
          <w:lang w:val="en-US" w:eastAsia="zh-CN"/>
        </w:rPr>
        <w:t xml:space="preserve">  1 </w:t>
      </w:r>
      <w:r>
        <w:rPr>
          <w:rFonts w:ascii="宋体" w:hAnsi="宋体"/>
          <w:bCs/>
          <w:color w:val="auto"/>
          <w:sz w:val="32"/>
          <w:szCs w:val="32"/>
          <w:highlight w:val="none"/>
        </w:rPr>
        <w:t>月</w:t>
      </w:r>
    </w:p>
    <w:p>
      <w:pPr>
        <w:autoSpaceDE w:val="0"/>
        <w:autoSpaceDN w:val="0"/>
        <w:adjustRightInd w:val="0"/>
        <w:snapToGrid w:val="0"/>
        <w:spacing w:line="360" w:lineRule="auto"/>
        <w:rPr>
          <w:rFonts w:hint="eastAsia" w:ascii="仿宋_GB2312" w:hAnsi="宋体" w:eastAsia="仿宋_GB2312" w:cs="MingLiU"/>
          <w:b/>
          <w:snapToGrid w:val="0"/>
          <w:color w:val="auto"/>
          <w:w w:val="99"/>
          <w:kern w:val="0"/>
          <w:sz w:val="30"/>
          <w:szCs w:val="30"/>
          <w:highlight w:val="none"/>
        </w:rPr>
      </w:pPr>
    </w:p>
    <w:p>
      <w:pPr>
        <w:pStyle w:val="2"/>
        <w:rPr>
          <w:rFonts w:hint="eastAsia" w:cs="MingLiU"/>
          <w:b w:val="0"/>
          <w:snapToGrid w:val="0"/>
          <w:color w:val="auto"/>
          <w:w w:val="99"/>
          <w:kern w:val="0"/>
          <w:sz w:val="30"/>
          <w:szCs w:val="30"/>
          <w:highlight w:val="none"/>
        </w:rPr>
      </w:pPr>
    </w:p>
    <w:p>
      <w:pPr>
        <w:pStyle w:val="2"/>
        <w:rPr>
          <w:rFonts w:hint="eastAsia"/>
          <w:color w:val="auto"/>
          <w:highlight w:val="none"/>
        </w:rPr>
      </w:pPr>
    </w:p>
    <w:p>
      <w:pPr>
        <w:tabs>
          <w:tab w:val="left" w:pos="6201"/>
        </w:tabs>
        <w:jc w:val="center"/>
        <w:rPr>
          <w:rFonts w:hint="eastAsia" w:ascii="宋体" w:eastAsia="宋体" w:cs="Times New Roman"/>
          <w:b/>
          <w:bCs w:val="0"/>
          <w:color w:val="auto"/>
          <w:kern w:val="2"/>
          <w:sz w:val="36"/>
          <w:szCs w:val="24"/>
          <w:highlight w:val="none"/>
          <w:lang w:val="en-US" w:eastAsia="zh-CN" w:bidi="ar-SA"/>
        </w:rPr>
      </w:pPr>
      <w:r>
        <w:rPr>
          <w:rFonts w:hint="eastAsia" w:ascii="宋体" w:eastAsia="宋体" w:cs="Times New Roman"/>
          <w:b/>
          <w:bCs w:val="0"/>
          <w:color w:val="auto"/>
          <w:kern w:val="2"/>
          <w:sz w:val="36"/>
          <w:szCs w:val="24"/>
          <w:highlight w:val="none"/>
          <w:lang w:val="en-US" w:eastAsia="zh-CN" w:bidi="ar-SA"/>
        </w:rPr>
        <w:t>供应商须知</w:t>
      </w:r>
    </w:p>
    <w:tbl>
      <w:tblPr>
        <w:tblStyle w:val="16"/>
        <w:tblpPr w:leftFromText="180" w:rightFromText="180" w:vertAnchor="text" w:horzAnchor="page" w:tblpX="1031" w:tblpY="844"/>
        <w:tblOverlap w:val="never"/>
        <w:tblW w:w="108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257"/>
        <w:gridCol w:w="8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4" w:hRule="atLeast"/>
        </w:trPr>
        <w:tc>
          <w:tcPr>
            <w:tcW w:w="766" w:type="dxa"/>
            <w:vAlign w:val="center"/>
          </w:tcPr>
          <w:p>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条款号</w:t>
            </w:r>
          </w:p>
        </w:tc>
        <w:tc>
          <w:tcPr>
            <w:tcW w:w="1257" w:type="dxa"/>
            <w:vAlign w:val="center"/>
          </w:tcPr>
          <w:p>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条款名称</w:t>
            </w:r>
          </w:p>
        </w:tc>
        <w:tc>
          <w:tcPr>
            <w:tcW w:w="8856" w:type="dxa"/>
            <w:vAlign w:val="center"/>
          </w:tcPr>
          <w:p>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编  列  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766"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1257"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采购人</w:t>
            </w:r>
          </w:p>
        </w:tc>
        <w:tc>
          <w:tcPr>
            <w:tcW w:w="8856" w:type="dxa"/>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2</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项目名称</w:t>
            </w:r>
          </w:p>
        </w:tc>
        <w:tc>
          <w:tcPr>
            <w:tcW w:w="8856" w:type="dxa"/>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垫江县小厦建筑有限公司项目广告及标识标牌供应商征集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66"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p>
        </w:tc>
        <w:tc>
          <w:tcPr>
            <w:tcW w:w="1257" w:type="dxa"/>
            <w:vAlign w:val="center"/>
          </w:tcPr>
          <w:p>
            <w:pPr>
              <w:tabs>
                <w:tab w:val="center" w:pos="4706"/>
              </w:tabs>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采购</w:t>
            </w:r>
            <w:r>
              <w:rPr>
                <w:rFonts w:hint="eastAsia" w:ascii="宋体" w:hAnsi="宋体" w:eastAsia="宋体" w:cs="宋体"/>
                <w:color w:val="auto"/>
                <w:kern w:val="0"/>
                <w:sz w:val="24"/>
                <w:szCs w:val="24"/>
                <w:highlight w:val="none"/>
              </w:rPr>
              <w:t>依据</w:t>
            </w:r>
          </w:p>
        </w:tc>
        <w:tc>
          <w:tcPr>
            <w:tcW w:w="8856" w:type="dxa"/>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【重庆渝垫国有资产经营集团有限公司关于印发《货物采购管理办法》的通知】渝垫国资司法[2023]53号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p>
        </w:tc>
        <w:tc>
          <w:tcPr>
            <w:tcW w:w="1257" w:type="dxa"/>
            <w:vAlign w:val="center"/>
          </w:tcPr>
          <w:p>
            <w:pPr>
              <w:tabs>
                <w:tab w:val="center" w:pos="4706"/>
              </w:tabs>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地点</w:t>
            </w:r>
          </w:p>
        </w:tc>
        <w:tc>
          <w:tcPr>
            <w:tcW w:w="8856" w:type="dxa"/>
            <w:vAlign w:val="center"/>
          </w:tcPr>
          <w:p>
            <w:pPr>
              <w:spacing w:line="360" w:lineRule="auto"/>
              <w:jc w:val="left"/>
              <w:rPr>
                <w:rFonts w:hint="eastAsia" w:ascii="宋体" w:hAnsi="宋体" w:eastAsia="宋体" w:cs="宋体"/>
                <w:snapToGrid w:val="0"/>
                <w:color w:val="auto"/>
                <w:kern w:val="0"/>
                <w:sz w:val="24"/>
                <w:szCs w:val="24"/>
                <w:highlight w:val="none"/>
                <w:lang w:eastAsia="zh-CN"/>
              </w:rPr>
            </w:pPr>
            <w:r>
              <w:rPr>
                <w:rFonts w:hint="eastAsia" w:ascii="宋体" w:hAnsi="宋体" w:eastAsia="宋体" w:cs="宋体"/>
                <w:color w:val="auto"/>
                <w:kern w:val="0"/>
                <w:sz w:val="24"/>
                <w:szCs w:val="24"/>
                <w:highlight w:val="none"/>
              </w:rPr>
              <w:t>垫江县</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具体交货地点以采购人通知为准。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766"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5</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资金来源</w:t>
            </w:r>
          </w:p>
        </w:tc>
        <w:tc>
          <w:tcPr>
            <w:tcW w:w="8856" w:type="dxa"/>
            <w:vAlign w:val="center"/>
          </w:tcPr>
          <w:p>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66"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6</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出资比例</w:t>
            </w:r>
          </w:p>
        </w:tc>
        <w:tc>
          <w:tcPr>
            <w:tcW w:w="8856" w:type="dxa"/>
            <w:vAlign w:val="center"/>
          </w:tcPr>
          <w:p>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7</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资金落实情况</w:t>
            </w:r>
          </w:p>
        </w:tc>
        <w:tc>
          <w:tcPr>
            <w:tcW w:w="8856" w:type="dxa"/>
            <w:vAlign w:val="center"/>
          </w:tcPr>
          <w:p>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766"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8</w:t>
            </w:r>
          </w:p>
        </w:tc>
        <w:tc>
          <w:tcPr>
            <w:tcW w:w="1257"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主要</w:t>
            </w:r>
          </w:p>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工作内容</w:t>
            </w:r>
          </w:p>
        </w:tc>
        <w:tc>
          <w:tcPr>
            <w:tcW w:w="8856" w:type="dxa"/>
            <w:vAlign w:val="center"/>
          </w:tcPr>
          <w:p>
            <w:pPr>
              <w:numPr>
                <w:ilvl w:val="0"/>
                <w:numId w:val="0"/>
              </w:numPr>
              <w:spacing w:line="280" w:lineRule="exact"/>
              <w:ind w:leftChars="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完成对采购人所需的清单内的要求进行供应，供应商需自行考虑单次货物送达地点的不确定性和数量不确定性。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9</w:t>
            </w:r>
          </w:p>
        </w:tc>
        <w:tc>
          <w:tcPr>
            <w:tcW w:w="1257" w:type="dxa"/>
            <w:vAlign w:val="center"/>
          </w:tcPr>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采购类别</w:t>
            </w:r>
          </w:p>
        </w:tc>
        <w:tc>
          <w:tcPr>
            <w:tcW w:w="8856" w:type="dxa"/>
            <w:vAlign w:val="center"/>
          </w:tcPr>
          <w:p>
            <w:pPr>
              <w:numPr>
                <w:ilvl w:val="0"/>
                <w:numId w:val="0"/>
              </w:numPr>
              <w:spacing w:line="280" w:lineRule="exact"/>
              <w:ind w:leftChars="0"/>
              <w:rPr>
                <w:rFonts w:hint="eastAsia" w:ascii="宋体" w:hAnsi="宋体" w:eastAsia="宋体" w:cs="宋体"/>
                <w:color w:val="FF0000"/>
                <w:sz w:val="24"/>
                <w:szCs w:val="24"/>
                <w:highlight w:val="none"/>
                <w:lang w:val="en-US" w:eastAsia="zh-CN"/>
              </w:rPr>
            </w:pPr>
            <w:r>
              <w:rPr>
                <w:rFonts w:hint="eastAsia" w:ascii="宋体" w:hAnsi="宋体" w:eastAsia="宋体" w:cs="宋体"/>
                <w:color w:val="FF0000"/>
                <w:sz w:val="24"/>
                <w:szCs w:val="24"/>
                <w:highlight w:val="none"/>
                <w:lang w:val="en-US" w:eastAsia="zh-CN"/>
              </w:rPr>
              <w:t>各材料清单详见附件，供应商在清单中没有的材料可以空着不填，但清单中未详尽材料内容不可自行添加。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0</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计划</w:t>
            </w:r>
          </w:p>
          <w:p>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供货期</w:t>
            </w:r>
          </w:p>
        </w:tc>
        <w:tc>
          <w:tcPr>
            <w:tcW w:w="8856" w:type="dxa"/>
            <w:vAlign w:val="center"/>
          </w:tcPr>
          <w:p>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供货期：原则上供货期为</w:t>
            </w:r>
            <w:r>
              <w:rPr>
                <w:rFonts w:hint="eastAsia" w:ascii="宋体" w:hAnsi="宋体" w:eastAsia="宋体" w:cs="宋体"/>
                <w:color w:val="C00000"/>
                <w:sz w:val="24"/>
                <w:szCs w:val="24"/>
                <w:highlight w:val="none"/>
                <w:lang w:val="en-US" w:eastAsia="zh-CN"/>
              </w:rPr>
              <w:t>半年</w:t>
            </w:r>
            <w:r>
              <w:rPr>
                <w:rFonts w:hint="eastAsia" w:ascii="宋体" w:hAnsi="宋体" w:eastAsia="宋体" w:cs="宋体"/>
                <w:color w:val="auto"/>
                <w:sz w:val="24"/>
                <w:szCs w:val="24"/>
                <w:highlight w:val="none"/>
                <w:lang w:val="en-US" w:eastAsia="zh-CN"/>
              </w:rPr>
              <w:t>，在供应商未违约的情况下，供货合同可延长至下一次垫江县小厦建筑有限公司供应商征集生效之日。</w:t>
            </w:r>
          </w:p>
          <w:p>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color w:val="auto"/>
                <w:sz w:val="24"/>
                <w:szCs w:val="24"/>
                <w:highlight w:val="none"/>
                <w:lang w:val="en-US" w:eastAsia="zh-CN"/>
              </w:rPr>
              <w:t>交货工期：因本次采购所涉及的项目实施时间的不确定性，具体供货/交货时间以采购人通知为准。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11</w:t>
            </w:r>
          </w:p>
        </w:tc>
        <w:tc>
          <w:tcPr>
            <w:tcW w:w="1257" w:type="dxa"/>
            <w:vAlign w:val="center"/>
          </w:tcPr>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质量要求</w:t>
            </w:r>
          </w:p>
        </w:tc>
        <w:tc>
          <w:tcPr>
            <w:tcW w:w="8856" w:type="dxa"/>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1.达到现行国家技术规格及清单质量要求。</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2.货物运达指定地点并安装后，由采购人相关人员按照现行国家及行业标准进行验收；如不合格，采购人将要求退货，供应商不得有异议，供应商自行承担货物往返所产生的运费及装卸费。</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FF0000"/>
                <w:sz w:val="24"/>
                <w:szCs w:val="24"/>
                <w:highlight w:val="none"/>
                <w:lang w:val="en-US" w:eastAsia="zh-CN"/>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FF0000"/>
                <w:sz w:val="24"/>
                <w:szCs w:val="24"/>
                <w:highlight w:val="none"/>
                <w:lang w:val="en-US" w:eastAsia="zh-CN"/>
              </w:rPr>
              <w:t>成交人供货完成后必须无条件提供成果方案的电子版原件给采购人。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2</w:t>
            </w:r>
          </w:p>
        </w:tc>
        <w:tc>
          <w:tcPr>
            <w:tcW w:w="1257" w:type="dxa"/>
            <w:vAlign w:val="center"/>
          </w:tcPr>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特定</w:t>
            </w:r>
          </w:p>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资质要求</w:t>
            </w:r>
          </w:p>
        </w:tc>
        <w:tc>
          <w:tcPr>
            <w:tcW w:w="8856" w:type="dxa"/>
            <w:vAlign w:val="center"/>
          </w:tcPr>
          <w:p>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3</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供应商</w:t>
            </w:r>
          </w:p>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资格条件</w:t>
            </w:r>
          </w:p>
        </w:tc>
        <w:tc>
          <w:tcPr>
            <w:tcW w:w="8856" w:type="dxa"/>
            <w:vAlign w:val="center"/>
          </w:tcPr>
          <w:p>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1.资质要求</w:t>
            </w:r>
          </w:p>
          <w:p>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必须具备有效的营业执照。</w:t>
            </w:r>
          </w:p>
          <w:p>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u w:val="none"/>
                <w:lang w:eastAsia="zh-CN"/>
              </w:rPr>
              <w:t>供应商</w:t>
            </w:r>
            <w:r>
              <w:rPr>
                <w:rFonts w:hint="eastAsia" w:ascii="宋体" w:hAnsi="宋体" w:eastAsia="宋体" w:cs="宋体"/>
                <w:color w:val="auto"/>
                <w:sz w:val="24"/>
                <w:szCs w:val="24"/>
                <w:highlight w:val="none"/>
                <w:u w:val="none"/>
              </w:rPr>
              <w:t>须在</w:t>
            </w:r>
            <w:r>
              <w:rPr>
                <w:rFonts w:hint="eastAsia" w:ascii="宋体" w:hAnsi="宋体" w:eastAsia="宋体" w:cs="宋体"/>
                <w:color w:val="auto"/>
                <w:sz w:val="24"/>
                <w:szCs w:val="24"/>
                <w:highlight w:val="none"/>
                <w:u w:val="none"/>
                <w:lang w:eastAsia="zh-CN"/>
              </w:rPr>
              <w:t>响应文件</w:t>
            </w:r>
            <w:r>
              <w:rPr>
                <w:rFonts w:hint="eastAsia" w:ascii="宋体" w:hAnsi="宋体" w:eastAsia="宋体" w:cs="宋体"/>
                <w:color w:val="auto"/>
                <w:sz w:val="24"/>
                <w:szCs w:val="24"/>
                <w:highlight w:val="none"/>
                <w:u w:val="none"/>
                <w:lang w:val="en-US" w:eastAsia="zh-CN"/>
              </w:rPr>
              <w:t>中</w:t>
            </w:r>
            <w:r>
              <w:rPr>
                <w:rFonts w:hint="eastAsia" w:ascii="宋体" w:hAnsi="宋体" w:eastAsia="宋体" w:cs="宋体"/>
                <w:color w:val="auto"/>
                <w:sz w:val="24"/>
                <w:szCs w:val="24"/>
                <w:highlight w:val="none"/>
                <w:u w:val="none"/>
              </w:rPr>
              <w:t>提供有效的营业执照复印件</w:t>
            </w:r>
            <w:r>
              <w:rPr>
                <w:rFonts w:hint="eastAsia" w:ascii="宋体" w:hAnsi="宋体" w:eastAsia="宋体" w:cs="宋体"/>
                <w:sz w:val="24"/>
                <w:szCs w:val="24"/>
              </w:rPr>
              <w:t>（复印件加盖鲜章）</w:t>
            </w:r>
            <w:r>
              <w:rPr>
                <w:rFonts w:hint="eastAsia" w:ascii="宋体" w:hAnsi="宋体" w:eastAsia="宋体" w:cs="宋体"/>
                <w:color w:val="auto"/>
                <w:sz w:val="24"/>
                <w:szCs w:val="24"/>
                <w:highlight w:val="none"/>
                <w:u w:val="none"/>
                <w:lang w:eastAsia="zh-CN"/>
              </w:rPr>
              <w:t>。</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2.需具有实体经营场所（提供含门头的场所照片）；</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lang w:val="en-US" w:eastAsia="zh-CN"/>
              </w:rPr>
              <w:t>3.采购人在确定供货商前均有权对供应商提供的上述相关证明材料进行核实，若发现资料存在弄虚作假，按照相关法律法规处理，供应商承担因此造成的相关责任并赔偿相应损失。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4</w:t>
            </w:r>
          </w:p>
        </w:tc>
        <w:tc>
          <w:tcPr>
            <w:tcW w:w="1257" w:type="dxa"/>
            <w:vAlign w:val="center"/>
          </w:tcPr>
          <w:p>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color w:val="auto"/>
                <w:kern w:val="0"/>
                <w:sz w:val="24"/>
                <w:szCs w:val="24"/>
                <w:highlight w:val="none"/>
              </w:rPr>
              <w:t>是否接受联合体</w:t>
            </w:r>
          </w:p>
        </w:tc>
        <w:tc>
          <w:tcPr>
            <w:tcW w:w="8856" w:type="dxa"/>
            <w:vAlign w:val="center"/>
          </w:tcPr>
          <w:p>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5</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踏勘现场</w:t>
            </w:r>
          </w:p>
        </w:tc>
        <w:tc>
          <w:tcPr>
            <w:tcW w:w="8856" w:type="dxa"/>
            <w:vAlign w:val="center"/>
          </w:tcPr>
          <w:p>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不组织，不统一组织，</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自行踏勘也可联系</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带领进行踏勘。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pPr>
              <w:adjustRightInd w:val="0"/>
              <w:jc w:val="center"/>
              <w:rPr>
                <w:rFonts w:hint="eastAsia" w:ascii="宋体" w:hAnsi="宋体" w:eastAsia="宋体" w:cs="宋体"/>
                <w:color w:val="auto"/>
                <w:kern w:val="0"/>
                <w:sz w:val="24"/>
                <w:szCs w:val="24"/>
                <w:highlight w:val="none"/>
              </w:rPr>
            </w:pPr>
          </w:p>
        </w:tc>
        <w:tc>
          <w:tcPr>
            <w:tcW w:w="1257" w:type="dxa"/>
            <w:vAlign w:val="center"/>
          </w:tcPr>
          <w:p>
            <w:pPr>
              <w:adjustRightInd w:val="0"/>
              <w:jc w:val="center"/>
              <w:rPr>
                <w:rFonts w:hint="eastAsia" w:ascii="宋体" w:hAnsi="宋体" w:eastAsia="宋体" w:cs="宋体"/>
                <w:color w:val="FF0000"/>
                <w:kern w:val="0"/>
                <w:sz w:val="24"/>
                <w:szCs w:val="24"/>
                <w:lang w:val="en-US" w:eastAsia="zh-CN" w:bidi="ar-SA"/>
              </w:rPr>
            </w:pPr>
            <w:r>
              <w:rPr>
                <w:rFonts w:hint="eastAsia" w:ascii="宋体" w:hAnsi="宋体" w:eastAsia="宋体" w:cs="宋体"/>
                <w:color w:val="FF0000"/>
                <w:kern w:val="0"/>
                <w:sz w:val="24"/>
                <w:szCs w:val="24"/>
              </w:rPr>
              <w:t>分包</w:t>
            </w:r>
          </w:p>
        </w:tc>
        <w:tc>
          <w:tcPr>
            <w:tcW w:w="8856" w:type="dxa"/>
            <w:vAlign w:val="center"/>
          </w:tcPr>
          <w:p>
            <w:pPr>
              <w:adjustRightInd w:val="0"/>
              <w:ind w:firstLine="480" w:firstLineChars="200"/>
              <w:jc w:val="left"/>
              <w:rPr>
                <w:rFonts w:hint="eastAsia" w:ascii="宋体" w:hAnsi="宋体" w:eastAsia="宋体" w:cs="宋体"/>
                <w:color w:val="FF0000"/>
                <w:kern w:val="0"/>
                <w:sz w:val="24"/>
                <w:szCs w:val="24"/>
                <w:lang w:val="en-US" w:eastAsia="zh-CN" w:bidi="ar-SA"/>
              </w:rPr>
            </w:pPr>
            <w:r>
              <w:rPr>
                <w:rFonts w:hint="eastAsia" w:ascii="宋体" w:hAnsi="宋体" w:eastAsia="宋体" w:cs="宋体"/>
                <w:color w:val="FF0000"/>
                <w:sz w:val="24"/>
                <w:szCs w:val="24"/>
              </w:rPr>
              <w:fldChar w:fldCharType="begin"/>
            </w:r>
            <w:r>
              <w:rPr>
                <w:rFonts w:hint="eastAsia" w:ascii="宋体" w:hAnsi="宋体" w:eastAsia="宋体" w:cs="宋体"/>
                <w:color w:val="FF0000"/>
                <w:sz w:val="24"/>
                <w:szCs w:val="24"/>
              </w:rPr>
              <w:instrText xml:space="preserve"> eq \o\ac(</w:instrText>
            </w:r>
            <w:r>
              <w:rPr>
                <w:rFonts w:hint="eastAsia" w:ascii="宋体" w:hAnsi="宋体" w:eastAsia="宋体" w:cs="宋体"/>
                <w:color w:val="FF0000"/>
                <w:position w:val="-4"/>
                <w:sz w:val="36"/>
                <w:szCs w:val="24"/>
              </w:rPr>
              <w:instrText xml:space="preserve">□</w:instrText>
            </w:r>
            <w:r>
              <w:rPr>
                <w:rFonts w:hint="eastAsia" w:ascii="宋体" w:hAnsi="宋体" w:eastAsia="宋体" w:cs="宋体"/>
                <w:color w:val="FF0000"/>
                <w:position w:val="0"/>
                <w:sz w:val="24"/>
                <w:szCs w:val="24"/>
              </w:rPr>
              <w:instrText xml:space="preserve">,√)</w:instrText>
            </w:r>
            <w:r>
              <w:rPr>
                <w:rFonts w:hint="eastAsia" w:ascii="宋体" w:hAnsi="宋体" w:eastAsia="宋体" w:cs="宋体"/>
                <w:color w:val="FF0000"/>
                <w:sz w:val="24"/>
                <w:szCs w:val="24"/>
              </w:rPr>
              <w:fldChar w:fldCharType="end"/>
            </w:r>
            <w:r>
              <w:rPr>
                <w:rFonts w:hint="eastAsia" w:ascii="宋体" w:hAnsi="宋体" w:eastAsia="宋体" w:cs="宋体"/>
                <w:color w:val="FF0000"/>
                <w:kern w:val="0"/>
                <w:sz w:val="24"/>
                <w:szCs w:val="24"/>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0"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6</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公告文件的获取</w:t>
            </w:r>
          </w:p>
        </w:tc>
        <w:tc>
          <w:tcPr>
            <w:tcW w:w="8856" w:type="dxa"/>
            <w:vAlign w:val="center"/>
          </w:tcPr>
          <w:p>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凡有意参加本次</w:t>
            </w:r>
            <w:r>
              <w:rPr>
                <w:rFonts w:hint="eastAsia" w:ascii="宋体" w:hAnsi="宋体" w:eastAsia="宋体" w:cs="宋体"/>
                <w:color w:val="auto"/>
                <w:kern w:val="0"/>
                <w:sz w:val="24"/>
                <w:szCs w:val="24"/>
                <w:highlight w:val="none"/>
                <w:lang w:eastAsia="zh-CN"/>
              </w:rPr>
              <w:t>询比采购</w:t>
            </w:r>
            <w:r>
              <w:rPr>
                <w:rFonts w:hint="eastAsia" w:ascii="宋体" w:hAnsi="宋体" w:eastAsia="宋体" w:cs="宋体"/>
                <w:color w:val="auto"/>
                <w:kern w:val="0"/>
                <w:sz w:val="24"/>
                <w:szCs w:val="24"/>
                <w:highlight w:val="none"/>
              </w:rPr>
              <w:t>者，请于202</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年</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cs="宋体"/>
                <w:color w:val="auto"/>
                <w:kern w:val="0"/>
                <w:sz w:val="24"/>
                <w:szCs w:val="24"/>
                <w:highlight w:val="none"/>
                <w:u w:val="single"/>
                <w:lang w:val="en-US" w:eastAsia="zh-CN"/>
              </w:rPr>
              <w:t>1</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月</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cs="宋体"/>
                <w:color w:val="auto"/>
                <w:kern w:val="0"/>
                <w:sz w:val="24"/>
                <w:szCs w:val="24"/>
                <w:highlight w:val="none"/>
                <w:u w:val="single"/>
                <w:lang w:val="en-US" w:eastAsia="zh-CN"/>
              </w:rPr>
              <w:t>5</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日起，在重庆渝垫国有资产经营</w:t>
            </w:r>
            <w:r>
              <w:rPr>
                <w:rFonts w:hint="eastAsia" w:ascii="宋体" w:hAnsi="宋体" w:eastAsia="宋体" w:cs="宋体"/>
                <w:color w:val="auto"/>
                <w:kern w:val="0"/>
                <w:sz w:val="24"/>
                <w:szCs w:val="24"/>
                <w:highlight w:val="none"/>
                <w:lang w:eastAsia="zh-CN"/>
              </w:rPr>
              <w:t>集团</w:t>
            </w:r>
            <w:r>
              <w:rPr>
                <w:rFonts w:hint="eastAsia" w:ascii="宋体" w:hAnsi="宋体" w:eastAsia="宋体" w:cs="宋体"/>
                <w:color w:val="auto"/>
                <w:kern w:val="0"/>
                <w:sz w:val="24"/>
                <w:szCs w:val="24"/>
                <w:highlight w:val="none"/>
              </w:rPr>
              <w:t>有限公司官方网站（</w:t>
            </w:r>
            <w:r>
              <w:rPr>
                <w:rFonts w:hint="eastAsia" w:ascii="宋体" w:hAnsi="宋体" w:eastAsia="宋体" w:cs="宋体"/>
                <w:color w:val="auto"/>
                <w:kern w:val="0"/>
                <w:sz w:val="24"/>
                <w:szCs w:val="24"/>
                <w:highlight w:val="none"/>
              </w:rPr>
              <w:fldChar w:fldCharType="begin"/>
            </w:r>
            <w:r>
              <w:rPr>
                <w:rFonts w:hint="eastAsia" w:ascii="宋体" w:hAnsi="宋体" w:eastAsia="宋体" w:cs="宋体"/>
                <w:color w:val="auto"/>
                <w:kern w:val="0"/>
                <w:sz w:val="24"/>
                <w:szCs w:val="24"/>
                <w:highlight w:val="none"/>
              </w:rPr>
              <w:instrText xml:space="preserve"> HYPERLINK "http://www.cqydgz.com" </w:instrText>
            </w:r>
            <w:r>
              <w:rPr>
                <w:rFonts w:hint="eastAsia" w:ascii="宋体" w:hAnsi="宋体" w:eastAsia="宋体" w:cs="宋体"/>
                <w:color w:val="auto"/>
                <w:kern w:val="0"/>
                <w:sz w:val="24"/>
                <w:szCs w:val="24"/>
                <w:highlight w:val="none"/>
              </w:rPr>
              <w:fldChar w:fldCharType="separate"/>
            </w:r>
            <w:r>
              <w:rPr>
                <w:rStyle w:val="23"/>
                <w:rFonts w:hint="eastAsia" w:ascii="宋体" w:hAnsi="宋体" w:eastAsia="宋体" w:cs="宋体"/>
                <w:color w:val="auto"/>
                <w:kern w:val="0"/>
                <w:sz w:val="24"/>
                <w:szCs w:val="24"/>
                <w:highlight w:val="none"/>
              </w:rPr>
              <w:t>http://www.cqydgz.com</w:t>
            </w:r>
            <w:r>
              <w:rPr>
                <w:rFonts w:hint="eastAsia" w:ascii="宋体" w:hAnsi="宋体" w:eastAsia="宋体" w:cs="宋体"/>
                <w:color w:val="auto"/>
                <w:kern w:val="0"/>
                <w:sz w:val="24"/>
                <w:szCs w:val="24"/>
                <w:highlight w:val="none"/>
              </w:rPr>
              <w:fldChar w:fldCharType="end"/>
            </w:r>
            <w:r>
              <w:rPr>
                <w:rFonts w:hint="eastAsia" w:ascii="宋体" w:hAnsi="宋体" w:eastAsia="宋体" w:cs="宋体"/>
                <w:color w:val="auto"/>
                <w:kern w:val="0"/>
                <w:sz w:val="24"/>
                <w:szCs w:val="24"/>
                <w:highlight w:val="none"/>
              </w:rPr>
              <w:t>）下载本项目的公告文件、答疑、补遗等相关资料。无论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下载与否，</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都视为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收到以上资料并全部知晓有关过程和事宜，由此产生的一切后果由</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eastAsia="宋体" w:cs="宋体"/>
                <w:color w:val="auto"/>
                <w:kern w:val="0"/>
                <w:sz w:val="24"/>
                <w:szCs w:val="24"/>
                <w:highlight w:val="none"/>
                <w:lang w:val="en-US" w:eastAsia="zh-CN"/>
              </w:rPr>
              <w:t>7</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构成响应文件的其他材料</w:t>
            </w:r>
          </w:p>
        </w:tc>
        <w:tc>
          <w:tcPr>
            <w:tcW w:w="8856" w:type="dxa"/>
            <w:vAlign w:val="center"/>
          </w:tcPr>
          <w:p>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的书面澄清、说明和补正（但不得改变响应文件的实质性内容）组成。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18</w:t>
            </w:r>
          </w:p>
        </w:tc>
        <w:tc>
          <w:tcPr>
            <w:tcW w:w="1257"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最高限价</w:t>
            </w:r>
          </w:p>
        </w:tc>
        <w:tc>
          <w:tcPr>
            <w:tcW w:w="8856" w:type="dxa"/>
            <w:vAlign w:val="center"/>
          </w:tcPr>
          <w:p>
            <w:pPr>
              <w:numPr>
                <w:ilvl w:val="0"/>
                <w:numId w:val="0"/>
              </w:num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本项目不设置限价。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9"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19</w:t>
            </w:r>
          </w:p>
        </w:tc>
        <w:tc>
          <w:tcPr>
            <w:tcW w:w="1257"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响应报价的其他</w:t>
            </w:r>
          </w:p>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要求</w:t>
            </w:r>
          </w:p>
        </w:tc>
        <w:tc>
          <w:tcPr>
            <w:tcW w:w="8856" w:type="dxa"/>
            <w:vAlign w:val="center"/>
          </w:tcPr>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①在供应商报价执行期间，所有单价不予调整，供应商应充分考虑供货及服务期间的价格风险。</w:t>
            </w:r>
          </w:p>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②如供应商成交，则其因承包本合同需缴纳的一切税费（说明：增值税税金不包含在本项目响应报价之中，增值税普通发票税金采购人不再另行支付，增值税专用发票税金由采购人等额支付）均由供应商自行承担，并包含在所报的单价或总额价中，采购人概不负责。</w:t>
            </w:r>
          </w:p>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③供应商应负责办理为执行本采购文件规定义务而投入的机具设备、运输工具的财产保险和人身保险、产品运输险、包装物的保险、第三方责任险以及应投保的其他保险，保险费由供应商承担并支付，并包含在产品的综合单价之中，采购人将不再单独支付。</w:t>
            </w:r>
          </w:p>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④响应报价应是将满足采购人要求的产品运至采购人指定交货地点的综合单价，</w:t>
            </w:r>
            <w:r>
              <w:rPr>
                <w:rFonts w:hint="eastAsia" w:ascii="宋体" w:hAnsi="宋体" w:eastAsia="宋体" w:cs="宋体"/>
                <w:color w:val="auto"/>
                <w:sz w:val="24"/>
                <w:szCs w:val="24"/>
                <w:highlight w:val="none"/>
                <w:lang w:val="en-US" w:eastAsia="zh-CN"/>
              </w:rPr>
              <w:t>该综合单价已</w:t>
            </w:r>
            <w:r>
              <w:rPr>
                <w:rFonts w:hint="eastAsia" w:ascii="宋体" w:hAnsi="宋体" w:eastAsia="宋体" w:cs="宋体"/>
                <w:color w:val="auto"/>
                <w:sz w:val="24"/>
                <w:szCs w:val="24"/>
                <w:highlight w:val="none"/>
                <w:lang w:eastAsia="zh-CN"/>
              </w:rPr>
              <w:t>包含了产品的出厂价（含所有规费等）、仓储费、加工费、运杂费（含包装、装运和运输至施工现场指定地点）、上下车费、</w:t>
            </w:r>
            <w:r>
              <w:rPr>
                <w:rFonts w:hint="eastAsia" w:ascii="宋体" w:hAnsi="宋体" w:eastAsia="宋体" w:cs="宋体"/>
                <w:color w:val="auto"/>
                <w:sz w:val="24"/>
                <w:szCs w:val="24"/>
                <w:highlight w:val="none"/>
                <w:lang w:val="en-US" w:eastAsia="zh-CN"/>
              </w:rPr>
              <w:t>安装费</w:t>
            </w:r>
            <w:r>
              <w:rPr>
                <w:rFonts w:hint="eastAsia" w:ascii="宋体" w:hAnsi="宋体" w:eastAsia="宋体" w:cs="宋体"/>
                <w:color w:val="auto"/>
                <w:sz w:val="24"/>
                <w:szCs w:val="24"/>
                <w:highlight w:val="none"/>
                <w:lang w:eastAsia="zh-CN"/>
              </w:rPr>
              <w:t>、风险费（如安全、损伤等）、保险（交货验收前）、各种检测及检验、成品和半成品保护、税费（不含增值税）、所有检测、验收、办理供货产品所需要的各种许可证、提供供货产品所需的各种有效检测报告费用（自检及第三方检测）、各种规费、经验收合格且交付给采购人正常使用的所有费用，以及合同明示或暗示的所有责任、义务和一般风险。</w:t>
            </w:r>
          </w:p>
          <w:p>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⑤采购数量以最终实际发生并结算的数量为准。</w:t>
            </w:r>
          </w:p>
          <w:p>
            <w:pPr>
              <w:tabs>
                <w:tab w:val="left" w:pos="1620"/>
              </w:tabs>
              <w:spacing w:line="300" w:lineRule="auto"/>
              <w:ind w:left="-73" w:leftChars="-35" w:firstLine="480" w:firstLineChars="200"/>
              <w:jc w:val="left"/>
              <w:rPr>
                <w:rFonts w:hint="eastAsia" w:ascii="宋体" w:hAnsi="宋体" w:eastAsia="宋体" w:cs="宋体"/>
                <w:sz w:val="24"/>
                <w:szCs w:val="24"/>
                <w:lang w:eastAsia="zh-CN"/>
              </w:rPr>
            </w:pPr>
            <w:r>
              <w:rPr>
                <w:rFonts w:hint="eastAsia" w:ascii="宋体" w:hAnsi="宋体" w:eastAsia="宋体" w:cs="宋体"/>
                <w:color w:val="auto"/>
                <w:sz w:val="24"/>
                <w:szCs w:val="24"/>
                <w:highlight w:val="none"/>
                <w:lang w:eastAsia="zh-CN"/>
              </w:rPr>
              <w:fldChar w:fldCharType="begin"/>
            </w:r>
            <w:r>
              <w:rPr>
                <w:rFonts w:hint="eastAsia" w:ascii="宋体" w:hAnsi="宋体" w:eastAsia="宋体" w:cs="宋体"/>
                <w:color w:val="auto"/>
                <w:sz w:val="24"/>
                <w:szCs w:val="24"/>
                <w:highlight w:val="none"/>
                <w:lang w:eastAsia="zh-CN"/>
              </w:rPr>
              <w:instrText xml:space="preserve"> = 6 \* GB3 \* MERGEFORMAT </w:instrText>
            </w:r>
            <w:r>
              <w:rPr>
                <w:rFonts w:hint="eastAsia" w:ascii="宋体" w:hAnsi="宋体" w:eastAsia="宋体" w:cs="宋体"/>
                <w:color w:val="auto"/>
                <w:sz w:val="24"/>
                <w:szCs w:val="24"/>
                <w:highlight w:val="none"/>
                <w:lang w:eastAsia="zh-CN"/>
              </w:rPr>
              <w:fldChar w:fldCharType="separate"/>
            </w:r>
            <w:r>
              <w:rPr>
                <w:rFonts w:hint="eastAsia" w:ascii="宋体" w:hAnsi="宋体" w:eastAsia="宋体" w:cs="宋体"/>
                <w:color w:val="auto"/>
                <w:sz w:val="24"/>
                <w:szCs w:val="24"/>
                <w:highlight w:val="none"/>
                <w:lang w:eastAsia="zh-CN"/>
              </w:rPr>
              <w:t>⑥</w:t>
            </w:r>
            <w:r>
              <w:rPr>
                <w:rFonts w:hint="eastAsia" w:ascii="宋体" w:hAnsi="宋体" w:eastAsia="宋体" w:cs="宋体"/>
                <w:color w:val="auto"/>
                <w:sz w:val="24"/>
                <w:szCs w:val="24"/>
                <w:highlight w:val="none"/>
                <w:lang w:eastAsia="zh-CN"/>
              </w:rPr>
              <w:fldChar w:fldCharType="end"/>
            </w:r>
            <w:r>
              <w:rPr>
                <w:rFonts w:hint="eastAsia" w:ascii="宋体" w:hAnsi="宋体" w:eastAsia="宋体" w:cs="宋体"/>
                <w:color w:val="auto"/>
                <w:sz w:val="24"/>
                <w:szCs w:val="24"/>
                <w:highlight w:val="none"/>
                <w:lang w:eastAsia="zh-CN"/>
              </w:rPr>
              <w:t>报价均以人民币为交易货币，且以元为单位。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20</w:t>
            </w:r>
          </w:p>
        </w:tc>
        <w:tc>
          <w:tcPr>
            <w:tcW w:w="1257" w:type="dxa"/>
            <w:vAlign w:val="center"/>
          </w:tcPr>
          <w:p>
            <w:pPr>
              <w:spacing w:line="380" w:lineRule="exact"/>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增值税税金的计算方法</w:t>
            </w:r>
          </w:p>
        </w:tc>
        <w:tc>
          <w:tcPr>
            <w:tcW w:w="8856" w:type="dxa"/>
            <w:vAlign w:val="center"/>
          </w:tcPr>
          <w:p>
            <w:pPr>
              <w:spacing w:line="380" w:lineRule="exact"/>
              <w:rPr>
                <w:rFonts w:hint="eastAsia" w:ascii="宋体" w:hAnsi="宋体" w:eastAsia="宋体" w:cs="宋体"/>
                <w:color w:val="FF0000"/>
                <w:sz w:val="24"/>
                <w:szCs w:val="24"/>
                <w:highlight w:val="none"/>
                <w:u w:val="single"/>
              </w:rPr>
            </w:pPr>
            <w:r>
              <w:rPr>
                <w:rFonts w:hint="eastAsia" w:ascii="宋体" w:hAnsi="宋体" w:eastAsia="宋体" w:cs="宋体"/>
                <w:color w:val="FF0000"/>
                <w:sz w:val="24"/>
                <w:szCs w:val="24"/>
                <w:highlight w:val="none"/>
                <w:u w:val="single"/>
              </w:rPr>
              <w:t>增值税税金按一般计税方法计算</w:t>
            </w:r>
          </w:p>
          <w:p>
            <w:pPr>
              <w:spacing w:line="380" w:lineRule="exact"/>
              <w:rPr>
                <w:rFonts w:hint="eastAsia" w:ascii="宋体" w:hAnsi="宋体" w:eastAsia="宋体" w:cs="宋体"/>
                <w:color w:val="auto"/>
                <w:kern w:val="2"/>
                <w:sz w:val="24"/>
                <w:szCs w:val="24"/>
                <w:highlight w:val="none"/>
                <w:u w:val="single"/>
                <w:lang w:val="en-US" w:eastAsia="zh-CN" w:bidi="ar-SA"/>
              </w:rPr>
            </w:pPr>
            <w:r>
              <w:rPr>
                <w:rFonts w:hint="eastAsia" w:ascii="宋体" w:hAnsi="宋体" w:eastAsia="宋体" w:cs="宋体"/>
                <w:color w:val="FF0000"/>
                <w:sz w:val="24"/>
                <w:szCs w:val="24"/>
                <w:highlight w:val="none"/>
                <w:u w:val="single"/>
              </w:rPr>
              <w:t>（说明：增值税税金</w:t>
            </w:r>
            <w:r>
              <w:rPr>
                <w:rFonts w:hint="eastAsia" w:ascii="宋体" w:hAnsi="宋体" w:eastAsia="宋体" w:cs="宋体"/>
                <w:color w:val="FF0000"/>
                <w:sz w:val="24"/>
                <w:szCs w:val="24"/>
                <w:highlight w:val="none"/>
                <w:u w:val="single"/>
                <w:lang w:val="en-US" w:eastAsia="zh-CN"/>
              </w:rPr>
              <w:t>不</w:t>
            </w:r>
            <w:r>
              <w:rPr>
                <w:rFonts w:hint="eastAsia" w:ascii="宋体" w:hAnsi="宋体" w:eastAsia="宋体" w:cs="宋体"/>
                <w:color w:val="FF0000"/>
                <w:sz w:val="24"/>
                <w:szCs w:val="24"/>
                <w:highlight w:val="none"/>
                <w:u w:val="single"/>
              </w:rPr>
              <w:t>包含在本项目</w:t>
            </w:r>
            <w:r>
              <w:rPr>
                <w:rFonts w:hint="eastAsia" w:ascii="宋体" w:hAnsi="宋体" w:eastAsia="宋体" w:cs="宋体"/>
                <w:color w:val="FF0000"/>
                <w:sz w:val="24"/>
                <w:szCs w:val="24"/>
                <w:highlight w:val="none"/>
                <w:u w:val="single"/>
                <w:lang w:eastAsia="zh-CN"/>
              </w:rPr>
              <w:t>响应</w:t>
            </w:r>
            <w:r>
              <w:rPr>
                <w:rFonts w:hint="eastAsia" w:ascii="宋体" w:hAnsi="宋体" w:eastAsia="宋体" w:cs="宋体"/>
                <w:color w:val="FF0000"/>
                <w:sz w:val="24"/>
                <w:szCs w:val="24"/>
                <w:highlight w:val="none"/>
                <w:u w:val="single"/>
              </w:rPr>
              <w:t>报价之中，</w:t>
            </w:r>
            <w:r>
              <w:rPr>
                <w:rFonts w:hint="eastAsia" w:ascii="宋体" w:hAnsi="宋体" w:eastAsia="宋体" w:cs="宋体"/>
                <w:color w:val="FF0000"/>
                <w:sz w:val="24"/>
                <w:szCs w:val="24"/>
                <w:highlight w:val="none"/>
                <w:u w:val="single"/>
                <w:lang w:val="en-US" w:eastAsia="zh-CN"/>
              </w:rPr>
              <w:t>增值税普通发票税金</w:t>
            </w:r>
            <w:r>
              <w:rPr>
                <w:rFonts w:hint="eastAsia" w:ascii="宋体" w:hAnsi="宋体" w:eastAsia="宋体" w:cs="宋体"/>
                <w:color w:val="FF0000"/>
                <w:sz w:val="24"/>
                <w:szCs w:val="24"/>
                <w:highlight w:val="none"/>
                <w:u w:val="single"/>
                <w:lang w:eastAsia="zh-CN"/>
              </w:rPr>
              <w:t>采购人</w:t>
            </w:r>
            <w:r>
              <w:rPr>
                <w:rFonts w:hint="eastAsia" w:ascii="宋体" w:hAnsi="宋体" w:eastAsia="宋体" w:cs="宋体"/>
                <w:color w:val="FF0000"/>
                <w:sz w:val="24"/>
                <w:szCs w:val="24"/>
                <w:highlight w:val="none"/>
                <w:u w:val="single"/>
              </w:rPr>
              <w:t>不再另行支付</w:t>
            </w:r>
            <w:r>
              <w:rPr>
                <w:rFonts w:hint="eastAsia" w:ascii="宋体" w:hAnsi="宋体" w:eastAsia="宋体" w:cs="宋体"/>
                <w:color w:val="FF0000"/>
                <w:sz w:val="24"/>
                <w:szCs w:val="24"/>
                <w:highlight w:val="none"/>
                <w:u w:val="single"/>
                <w:lang w:eastAsia="zh-CN"/>
              </w:rPr>
              <w:t>，</w:t>
            </w:r>
            <w:r>
              <w:rPr>
                <w:rFonts w:hint="eastAsia" w:ascii="宋体" w:hAnsi="宋体" w:eastAsia="宋体" w:cs="宋体"/>
                <w:color w:val="FF0000"/>
                <w:sz w:val="24"/>
                <w:szCs w:val="24"/>
                <w:highlight w:val="none"/>
                <w:u w:val="single"/>
                <w:lang w:val="en-US" w:eastAsia="zh-CN"/>
              </w:rPr>
              <w:t>增值税专用发票税金由采购人等额支付</w:t>
            </w:r>
            <w:r>
              <w:rPr>
                <w:rFonts w:hint="eastAsia" w:ascii="宋体" w:hAnsi="宋体" w:eastAsia="宋体" w:cs="宋体"/>
                <w:color w:val="FF0000"/>
                <w:sz w:val="24"/>
                <w:szCs w:val="24"/>
                <w:highlight w:val="none"/>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eastAsia="宋体" w:cs="宋体"/>
                <w:color w:val="auto"/>
                <w:kern w:val="0"/>
                <w:sz w:val="24"/>
                <w:szCs w:val="24"/>
                <w:highlight w:val="none"/>
                <w:lang w:val="en-US" w:eastAsia="zh-CN"/>
              </w:rPr>
              <w:t>1</w:t>
            </w:r>
          </w:p>
        </w:tc>
        <w:tc>
          <w:tcPr>
            <w:tcW w:w="1257" w:type="dxa"/>
            <w:vAlign w:val="center"/>
          </w:tcPr>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采购</w:t>
            </w:r>
          </w:p>
          <w:p>
            <w:pPr>
              <w:adjustRightInd w:val="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有效期</w:t>
            </w:r>
          </w:p>
        </w:tc>
        <w:tc>
          <w:tcPr>
            <w:tcW w:w="8856" w:type="dxa"/>
            <w:vAlign w:val="center"/>
          </w:tcPr>
          <w:p>
            <w:pPr>
              <w:tabs>
                <w:tab w:val="left" w:pos="1620"/>
              </w:tabs>
              <w:spacing w:line="300" w:lineRule="auto"/>
              <w:jc w:val="left"/>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snapToGrid w:val="0"/>
                <w:color w:val="auto"/>
                <w:kern w:val="0"/>
                <w:sz w:val="24"/>
                <w:szCs w:val="24"/>
                <w:highlight w:val="none"/>
                <w:u w:val="single"/>
                <w:lang w:val="en-US" w:eastAsia="zh-CN"/>
              </w:rPr>
              <w:t>180</w:t>
            </w:r>
            <w:r>
              <w:rPr>
                <w:rFonts w:hint="eastAsia" w:ascii="宋体" w:hAnsi="宋体" w:eastAsia="宋体" w:cs="宋体"/>
                <w:snapToGrid w:val="0"/>
                <w:color w:val="auto"/>
                <w:kern w:val="0"/>
                <w:sz w:val="24"/>
                <w:szCs w:val="24"/>
                <w:highlight w:val="none"/>
              </w:rPr>
              <w:t>日历天（从提交</w:t>
            </w:r>
            <w:r>
              <w:rPr>
                <w:rFonts w:hint="eastAsia" w:ascii="宋体" w:hAnsi="宋体" w:eastAsia="宋体" w:cs="宋体"/>
                <w:snapToGrid w:val="0"/>
                <w:color w:val="auto"/>
                <w:kern w:val="0"/>
                <w:sz w:val="24"/>
                <w:szCs w:val="24"/>
                <w:highlight w:val="none"/>
                <w:lang w:eastAsia="zh-CN"/>
              </w:rPr>
              <w:t>采购响应</w:t>
            </w:r>
            <w:r>
              <w:rPr>
                <w:rFonts w:hint="eastAsia" w:ascii="宋体" w:hAnsi="宋体" w:eastAsia="宋体" w:cs="宋体"/>
                <w:snapToGrid w:val="0"/>
                <w:color w:val="auto"/>
                <w:kern w:val="0"/>
                <w:sz w:val="24"/>
                <w:szCs w:val="24"/>
                <w:highlight w:val="none"/>
              </w:rPr>
              <w:t>文件截止日起计算）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22</w:t>
            </w:r>
          </w:p>
        </w:tc>
        <w:tc>
          <w:tcPr>
            <w:tcW w:w="1257"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eastAsia="zh-CN"/>
              </w:rPr>
              <w:t>递交方式</w:t>
            </w:r>
          </w:p>
        </w:tc>
        <w:tc>
          <w:tcPr>
            <w:tcW w:w="8856" w:type="dxa"/>
            <w:vAlign w:val="center"/>
          </w:tcPr>
          <w:p>
            <w:p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将响应文件原件（格式附后，附件1）的扫描件（PDF格式）及清单Excel 表格同时发送至邮箱2521186913@qq.com。响应文件中报价超过最高限价、填写模糊不清、填写错误、未加盖公章、未按时发送到指定邮箱，均视为无效文件。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1" w:hRule="atLeast"/>
        </w:trPr>
        <w:tc>
          <w:tcPr>
            <w:tcW w:w="766" w:type="dxa"/>
            <w:vAlign w:val="center"/>
          </w:tcPr>
          <w:p>
            <w:pPr>
              <w:adjustRightInd w:val="0"/>
              <w:snapToGri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eastAsia="宋体" w:cs="宋体"/>
                <w:color w:val="auto"/>
                <w:kern w:val="0"/>
                <w:sz w:val="24"/>
                <w:szCs w:val="24"/>
                <w:highlight w:val="none"/>
                <w:lang w:val="en-US" w:eastAsia="zh-CN"/>
              </w:rPr>
              <w:t>3</w:t>
            </w:r>
          </w:p>
        </w:tc>
        <w:tc>
          <w:tcPr>
            <w:tcW w:w="1257"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kern w:val="0"/>
                <w:sz w:val="24"/>
                <w:szCs w:val="24"/>
              </w:rPr>
              <w:t>递交说明</w:t>
            </w:r>
          </w:p>
        </w:tc>
        <w:tc>
          <w:tcPr>
            <w:tcW w:w="8856" w:type="dxa"/>
            <w:vAlign w:val="center"/>
          </w:tcPr>
          <w:p>
            <w:pPr>
              <w:numPr>
                <w:ilvl w:val="0"/>
                <w:numId w:val="2"/>
              </w:numPr>
              <w:tabs>
                <w:tab w:val="left" w:pos="1620"/>
              </w:tabs>
              <w:spacing w:line="300" w:lineRule="auto"/>
              <w:jc w:val="left"/>
              <w:rPr>
                <w:rFonts w:hint="eastAsia" w:ascii="宋体" w:hAnsi="宋体" w:eastAsia="宋体" w:cs="宋体"/>
                <w:snapToGrid w:val="0"/>
                <w:kern w:val="0"/>
                <w:sz w:val="24"/>
                <w:szCs w:val="24"/>
              </w:rPr>
            </w:pPr>
            <w:r>
              <w:rPr>
                <w:rFonts w:hint="eastAsia" w:ascii="宋体" w:hAnsi="宋体" w:eastAsia="宋体" w:cs="宋体"/>
                <w:sz w:val="24"/>
                <w:szCs w:val="24"/>
              </w:rPr>
              <w:t>邮件发送主题请注明：垫江县小厦建筑有限公司</w:t>
            </w:r>
            <w:r>
              <w:rPr>
                <w:rFonts w:hint="eastAsia" w:ascii="宋体" w:hAnsi="宋体" w:eastAsia="宋体" w:cs="宋体"/>
                <w:sz w:val="24"/>
                <w:szCs w:val="24"/>
                <w:lang w:val="en-US" w:eastAsia="zh-CN"/>
              </w:rPr>
              <w:t>项目广告及标识标牌</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eastAsia="宋体" w:cs="宋体"/>
                <w:snapToGrid w:val="0"/>
                <w:color w:val="FF0000"/>
                <w:kern w:val="0"/>
                <w:sz w:val="24"/>
                <w:szCs w:val="24"/>
                <w:u w:val="single"/>
              </w:rPr>
              <w:t>公司全称</w:t>
            </w:r>
            <w:r>
              <w:rPr>
                <w:rFonts w:hint="eastAsia" w:ascii="宋体" w:hAnsi="宋体" w:eastAsia="宋体" w:cs="宋体"/>
                <w:snapToGrid w:val="0"/>
                <w:kern w:val="0"/>
                <w:sz w:val="24"/>
                <w:szCs w:val="24"/>
              </w:rPr>
              <w:t>）；</w:t>
            </w:r>
          </w:p>
          <w:p>
            <w:pPr>
              <w:numPr>
                <w:ilvl w:val="0"/>
                <w:numId w:val="2"/>
              </w:num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napToGrid w:val="0"/>
                <w:kern w:val="0"/>
                <w:sz w:val="24"/>
                <w:szCs w:val="24"/>
              </w:rPr>
              <w:t>响应文件扫描件名称为：</w:t>
            </w:r>
            <w:r>
              <w:rPr>
                <w:rFonts w:hint="eastAsia" w:ascii="宋体" w:hAnsi="宋体" w:eastAsia="宋体" w:cs="宋体"/>
                <w:sz w:val="24"/>
                <w:szCs w:val="24"/>
              </w:rPr>
              <w:t>垫江县小厦建筑有限公司</w:t>
            </w:r>
            <w:r>
              <w:rPr>
                <w:rFonts w:hint="eastAsia" w:ascii="宋体" w:hAnsi="宋体" w:eastAsia="宋体" w:cs="宋体"/>
                <w:sz w:val="24"/>
                <w:szCs w:val="24"/>
                <w:lang w:val="en-US" w:eastAsia="zh-CN"/>
              </w:rPr>
              <w:t>项目广告及标识标牌</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eastAsia="宋体" w:cs="宋体"/>
                <w:snapToGrid w:val="0"/>
                <w:color w:val="FF0000"/>
                <w:kern w:val="0"/>
                <w:sz w:val="24"/>
                <w:szCs w:val="24"/>
                <w:u w:val="single"/>
              </w:rPr>
              <w:t>公司全称</w:t>
            </w:r>
            <w:r>
              <w:rPr>
                <w:rFonts w:hint="eastAsia" w:ascii="宋体" w:hAnsi="宋体" w:eastAsia="宋体" w:cs="宋体"/>
                <w:snapToGrid w:val="0"/>
                <w:kern w:val="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pPr>
              <w:adjustRightInd w:val="0"/>
              <w:snapToGri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24</w:t>
            </w:r>
          </w:p>
        </w:tc>
        <w:tc>
          <w:tcPr>
            <w:tcW w:w="1257" w:type="dxa"/>
            <w:vAlign w:val="center"/>
          </w:tcPr>
          <w:p>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sz w:val="24"/>
                <w:szCs w:val="24"/>
              </w:rPr>
              <w:t>响应文件递交时间地点及截止时间</w:t>
            </w:r>
          </w:p>
        </w:tc>
        <w:tc>
          <w:tcPr>
            <w:tcW w:w="8856" w:type="dxa"/>
            <w:vAlign w:val="center"/>
          </w:tcPr>
          <w:p>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递交邮箱：将扫描件发送至垫江县小厦建筑有限公司邮箱</w:t>
            </w:r>
            <w:r>
              <w:rPr>
                <w:rFonts w:hint="eastAsia" w:ascii="宋体" w:hAnsi="宋体" w:eastAsia="宋体" w:cs="宋体"/>
                <w:kern w:val="0"/>
                <w:sz w:val="24"/>
                <w:szCs w:val="24"/>
              </w:rPr>
              <w:t>2521186913@qq.com</w:t>
            </w:r>
            <w:r>
              <w:rPr>
                <w:rFonts w:hint="eastAsia" w:ascii="宋体" w:hAnsi="宋体" w:eastAsia="宋体" w:cs="宋体"/>
                <w:sz w:val="24"/>
                <w:szCs w:val="24"/>
              </w:rPr>
              <w:t>。</w:t>
            </w:r>
          </w:p>
          <w:p>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递交时间</w:t>
            </w:r>
            <w:r>
              <w:rPr>
                <w:rFonts w:hint="eastAsia" w:ascii="宋体" w:hAnsi="宋体" w:eastAsia="宋体" w:cs="宋体"/>
                <w:sz w:val="24"/>
                <w:szCs w:val="24"/>
                <w:u w:val="single"/>
              </w:rPr>
              <w:t>：202</w:t>
            </w:r>
            <w:r>
              <w:rPr>
                <w:rFonts w:hint="eastAsia" w:ascii="宋体" w:hAnsi="宋体" w:eastAsia="宋体" w:cs="宋体"/>
                <w:sz w:val="24"/>
                <w:szCs w:val="24"/>
                <w:u w:val="single"/>
                <w:lang w:val="en-US" w:eastAsia="zh-CN"/>
              </w:rPr>
              <w:t>4</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11</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8</w:t>
            </w:r>
            <w:r>
              <w:rPr>
                <w:rFonts w:hint="eastAsia" w:ascii="宋体" w:hAnsi="宋体" w:eastAsia="宋体" w:cs="宋体"/>
                <w:sz w:val="24"/>
                <w:szCs w:val="24"/>
              </w:rPr>
              <w:t>时</w:t>
            </w:r>
            <w:r>
              <w:rPr>
                <w:rFonts w:hint="eastAsia" w:ascii="宋体" w:hAnsi="宋体" w:eastAsia="宋体" w:cs="宋体"/>
                <w:sz w:val="24"/>
                <w:szCs w:val="24"/>
                <w:u w:val="single"/>
              </w:rPr>
              <w:t xml:space="preserve"> 00 </w:t>
            </w:r>
            <w:r>
              <w:rPr>
                <w:rFonts w:hint="eastAsia" w:ascii="宋体" w:hAnsi="宋体" w:eastAsia="宋体" w:cs="宋体"/>
                <w:sz w:val="24"/>
                <w:szCs w:val="24"/>
              </w:rPr>
              <w:t>分至</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0</w:t>
            </w:r>
            <w:r>
              <w:rPr>
                <w:rFonts w:hint="eastAsia" w:ascii="宋体" w:hAnsi="宋体" w:eastAsia="宋体" w:cs="宋体"/>
                <w:sz w:val="24"/>
                <w:szCs w:val="24"/>
              </w:rPr>
              <w:t>时</w:t>
            </w:r>
            <w:r>
              <w:rPr>
                <w:rFonts w:hint="eastAsia" w:ascii="宋体" w:hAnsi="宋体" w:eastAsia="宋体" w:cs="宋体"/>
                <w:sz w:val="24"/>
                <w:szCs w:val="24"/>
                <w:u w:val="single"/>
                <w:lang w:val="en-US" w:eastAsia="zh-CN"/>
              </w:rPr>
              <w:t>30</w:t>
            </w:r>
            <w:r>
              <w:rPr>
                <w:rFonts w:hint="eastAsia" w:ascii="宋体" w:hAnsi="宋体" w:eastAsia="宋体" w:cs="宋体"/>
                <w:sz w:val="24"/>
                <w:szCs w:val="24"/>
              </w:rPr>
              <w:t>分；</w:t>
            </w:r>
          </w:p>
          <w:p>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截止时间：</w:t>
            </w:r>
            <w:r>
              <w:rPr>
                <w:rFonts w:hint="eastAsia" w:ascii="宋体" w:hAnsi="宋体" w:eastAsia="宋体" w:cs="宋体"/>
                <w:sz w:val="24"/>
                <w:szCs w:val="24"/>
                <w:u w:val="single"/>
              </w:rPr>
              <w:t>202</w:t>
            </w:r>
            <w:r>
              <w:rPr>
                <w:rFonts w:hint="eastAsia" w:ascii="宋体" w:hAnsi="宋体" w:eastAsia="宋体" w:cs="宋体"/>
                <w:sz w:val="24"/>
                <w:szCs w:val="24"/>
                <w:u w:val="single"/>
                <w:lang w:val="en-US" w:eastAsia="zh-CN"/>
              </w:rPr>
              <w:t>4</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11</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cs="宋体"/>
                <w:sz w:val="24"/>
                <w:szCs w:val="24"/>
                <w:u w:val="single"/>
                <w:lang w:val="en-US" w:eastAsia="zh-CN"/>
              </w:rPr>
              <w:t>0</w:t>
            </w:r>
            <w:r>
              <w:rPr>
                <w:rFonts w:hint="eastAsia" w:ascii="宋体" w:hAnsi="宋体" w:eastAsia="宋体" w:cs="宋体"/>
                <w:sz w:val="24"/>
                <w:szCs w:val="24"/>
              </w:rPr>
              <w:t>时</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30</w:t>
            </w:r>
            <w:r>
              <w:rPr>
                <w:rFonts w:hint="eastAsia" w:ascii="宋体" w:hAnsi="宋体" w:eastAsia="宋体" w:cs="宋体"/>
                <w:sz w:val="24"/>
                <w:szCs w:val="24"/>
                <w:u w:val="single"/>
              </w:rPr>
              <w:t xml:space="preserve"> </w:t>
            </w:r>
            <w:r>
              <w:rPr>
                <w:rFonts w:hint="eastAsia" w:ascii="宋体" w:hAnsi="宋体" w:eastAsia="宋体" w:cs="宋体"/>
                <w:sz w:val="24"/>
                <w:szCs w:val="24"/>
              </w:rPr>
              <w:t>分</w:t>
            </w:r>
          </w:p>
          <w:p>
            <w:p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sz w:val="24"/>
                <w:szCs w:val="24"/>
              </w:rPr>
              <w:t>递交说明：除本时间段外的时间发送至邮箱的响应文件为无效响应文件，我司将拒绝认可该响应文件的有效性。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6" w:hRule="atLeast"/>
        </w:trPr>
        <w:tc>
          <w:tcPr>
            <w:tcW w:w="766" w:type="dxa"/>
            <w:vAlign w:val="center"/>
          </w:tcPr>
          <w:p>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25</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kern w:val="0"/>
                <w:sz w:val="24"/>
                <w:szCs w:val="24"/>
              </w:rPr>
              <w:t>评审程序</w:t>
            </w:r>
          </w:p>
        </w:tc>
        <w:tc>
          <w:tcPr>
            <w:tcW w:w="8856" w:type="dxa"/>
            <w:vAlign w:val="center"/>
          </w:tcPr>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在递交截止时间到后，供应商可至采购现场参与监督开启过程，如参与监督请在截止时间前10分钟到达垫江县财富大厦1504办公室。</w:t>
            </w:r>
          </w:p>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在递交截止时间到后由采购人统一开启邮件。</w:t>
            </w:r>
          </w:p>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评审小组评审。</w:t>
            </w:r>
          </w:p>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确定成交人和成交价。</w:t>
            </w:r>
          </w:p>
          <w:p>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评审结束。</w:t>
            </w:r>
          </w:p>
          <w:p>
            <w:pPr>
              <w:numPr>
                <w:ilvl w:val="0"/>
                <w:numId w:val="3"/>
              </w:numPr>
              <w:tabs>
                <w:tab w:val="left" w:pos="1620"/>
              </w:tabs>
              <w:spacing w:line="300" w:lineRule="auto"/>
              <w:ind w:left="-73" w:leftChars="-35"/>
              <w:jc w:val="left"/>
              <w:rPr>
                <w:rFonts w:hint="eastAsia" w:ascii="宋体" w:hAnsi="宋体" w:eastAsia="宋体" w:cs="宋体"/>
                <w:color w:val="auto"/>
                <w:sz w:val="24"/>
                <w:szCs w:val="24"/>
                <w:highlight w:val="none"/>
              </w:rPr>
            </w:pPr>
            <w:r>
              <w:rPr>
                <w:rFonts w:hint="eastAsia" w:ascii="宋体" w:hAnsi="宋体" w:eastAsia="宋体" w:cs="宋体"/>
                <w:sz w:val="24"/>
                <w:szCs w:val="24"/>
              </w:rPr>
              <w:t>结果在</w:t>
            </w:r>
            <w:r>
              <w:rPr>
                <w:rFonts w:hint="eastAsia" w:ascii="宋体" w:hAnsi="宋体" w:eastAsia="宋体" w:cs="宋体"/>
                <w:kern w:val="0"/>
                <w:sz w:val="24"/>
                <w:szCs w:val="24"/>
              </w:rPr>
              <w:t>重庆渝垫国有资产经营集团有限公司官方网站（</w:t>
            </w:r>
            <w:r>
              <w:rPr>
                <w:rFonts w:hint="eastAsia" w:ascii="宋体" w:hAnsi="宋体" w:eastAsia="宋体" w:cs="宋体"/>
                <w:kern w:val="0"/>
                <w:sz w:val="24"/>
                <w:szCs w:val="24"/>
              </w:rPr>
              <w:fldChar w:fldCharType="begin"/>
            </w:r>
            <w:r>
              <w:rPr>
                <w:rFonts w:hint="eastAsia" w:ascii="宋体" w:hAnsi="宋体" w:eastAsia="宋体" w:cs="宋体"/>
                <w:kern w:val="0"/>
                <w:sz w:val="24"/>
                <w:szCs w:val="24"/>
              </w:rPr>
              <w:instrText xml:space="preserve"> HYPERLINK "http://www.cqydgz.com" </w:instrText>
            </w:r>
            <w:r>
              <w:rPr>
                <w:rFonts w:hint="eastAsia" w:ascii="宋体" w:hAnsi="宋体" w:eastAsia="宋体" w:cs="宋体"/>
                <w:kern w:val="0"/>
                <w:sz w:val="24"/>
                <w:szCs w:val="24"/>
              </w:rPr>
              <w:fldChar w:fldCharType="separate"/>
            </w:r>
            <w:r>
              <w:rPr>
                <w:rStyle w:val="23"/>
                <w:rFonts w:hint="eastAsia" w:ascii="宋体" w:hAnsi="宋体" w:eastAsia="宋体" w:cs="宋体"/>
                <w:kern w:val="0"/>
                <w:sz w:val="24"/>
                <w:szCs w:val="24"/>
              </w:rPr>
              <w:t>http://www.cqydgz.com</w:t>
            </w:r>
            <w:r>
              <w:rPr>
                <w:rFonts w:hint="eastAsia" w:ascii="宋体" w:hAnsi="宋体" w:eastAsia="宋体" w:cs="宋体"/>
                <w:kern w:val="0"/>
                <w:sz w:val="24"/>
                <w:szCs w:val="24"/>
              </w:rPr>
              <w:fldChar w:fldCharType="end"/>
            </w:r>
            <w:r>
              <w:rPr>
                <w:rFonts w:hint="eastAsia" w:ascii="宋体" w:hAnsi="宋体" w:eastAsia="宋体" w:cs="宋体"/>
                <w:kern w:val="0"/>
                <w:sz w:val="24"/>
                <w:szCs w:val="24"/>
              </w:rPr>
              <w:t>）公示</w:t>
            </w:r>
            <w:r>
              <w:rPr>
                <w:rFonts w:hint="eastAsia" w:ascii="宋体" w:hAnsi="宋体" w:eastAsia="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26</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评审小组的组建</w:t>
            </w:r>
          </w:p>
        </w:tc>
        <w:tc>
          <w:tcPr>
            <w:tcW w:w="8856" w:type="dxa"/>
            <w:vAlign w:val="center"/>
          </w:tcPr>
          <w:p>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自行组织，由 3 人或3人以上单数组成。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7" w:hRule="atLeast"/>
        </w:trPr>
        <w:tc>
          <w:tcPr>
            <w:tcW w:w="766" w:type="dxa"/>
            <w:vAlign w:val="center"/>
          </w:tcPr>
          <w:p>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27</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FF0000"/>
                <w:kern w:val="0"/>
                <w:sz w:val="24"/>
                <w:szCs w:val="24"/>
              </w:rPr>
              <w:t>履约担保</w:t>
            </w:r>
          </w:p>
        </w:tc>
        <w:tc>
          <w:tcPr>
            <w:tcW w:w="8856" w:type="dxa"/>
            <w:vAlign w:val="center"/>
          </w:tcPr>
          <w:p>
            <w:pPr>
              <w:spacing w:line="42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履约担保的金额：¥</w:t>
            </w:r>
            <w:r>
              <w:rPr>
                <w:rFonts w:hint="eastAsia" w:ascii="宋体" w:hAnsi="宋体" w:eastAsia="宋体" w:cs="宋体"/>
                <w:color w:val="auto"/>
                <w:sz w:val="24"/>
                <w:szCs w:val="24"/>
                <w:highlight w:val="none"/>
                <w:lang w:val="en-US" w:eastAsia="zh-CN"/>
              </w:rPr>
              <w:t>2000.00元（大写：贰仟元整）</w:t>
            </w:r>
            <w:r>
              <w:rPr>
                <w:rFonts w:hint="eastAsia" w:ascii="宋体" w:hAnsi="宋体" w:eastAsia="宋体" w:cs="宋体"/>
                <w:color w:val="auto"/>
                <w:sz w:val="24"/>
                <w:szCs w:val="24"/>
                <w:highlight w:val="none"/>
              </w:rPr>
              <w:t>。</w:t>
            </w:r>
          </w:p>
          <w:p>
            <w:pPr>
              <w:snapToGrid w:val="0"/>
              <w:spacing w:line="4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履约担保的提交时间：</w:t>
            </w:r>
            <w:r>
              <w:rPr>
                <w:rFonts w:hint="eastAsia" w:ascii="宋体" w:hAnsi="宋体" w:eastAsia="宋体" w:cs="宋体"/>
                <w:color w:val="auto"/>
                <w:sz w:val="24"/>
                <w:szCs w:val="24"/>
                <w:highlight w:val="none"/>
                <w:u w:val="single"/>
              </w:rPr>
              <w:t>在</w:t>
            </w:r>
            <w:r>
              <w:rPr>
                <w:rFonts w:hint="eastAsia" w:ascii="宋体" w:hAnsi="宋体" w:eastAsia="宋体" w:cs="宋体"/>
                <w:color w:val="auto"/>
                <w:sz w:val="24"/>
                <w:szCs w:val="24"/>
                <w:highlight w:val="none"/>
                <w:u w:val="single"/>
                <w:lang w:eastAsia="zh-CN"/>
              </w:rPr>
              <w:t>成交</w:t>
            </w:r>
            <w:r>
              <w:rPr>
                <w:rFonts w:hint="eastAsia" w:ascii="宋体" w:hAnsi="宋体" w:eastAsia="宋体" w:cs="宋体"/>
                <w:color w:val="auto"/>
                <w:sz w:val="24"/>
                <w:szCs w:val="24"/>
                <w:highlight w:val="none"/>
                <w:u w:val="single"/>
              </w:rPr>
              <w:t>公示结束后</w:t>
            </w:r>
            <w:r>
              <w:rPr>
                <w:rFonts w:hint="eastAsia" w:ascii="宋体" w:hAnsi="宋体" w:eastAsia="宋体" w:cs="宋体"/>
                <w:color w:val="auto"/>
                <w:sz w:val="24"/>
                <w:szCs w:val="24"/>
                <w:highlight w:val="none"/>
                <w:u w:val="single"/>
                <w:lang w:val="en-US" w:eastAsia="zh-CN"/>
              </w:rPr>
              <w:t>7</w:t>
            </w:r>
            <w:r>
              <w:rPr>
                <w:rFonts w:hint="eastAsia" w:ascii="宋体" w:hAnsi="宋体" w:eastAsia="宋体" w:cs="宋体"/>
                <w:color w:val="auto"/>
                <w:sz w:val="24"/>
                <w:szCs w:val="24"/>
                <w:highlight w:val="none"/>
                <w:u w:val="single"/>
              </w:rPr>
              <w:t>天内，</w:t>
            </w:r>
            <w:r>
              <w:rPr>
                <w:rFonts w:hint="eastAsia" w:ascii="宋体" w:hAnsi="宋体" w:eastAsia="宋体" w:cs="宋体"/>
                <w:color w:val="auto"/>
                <w:sz w:val="24"/>
                <w:szCs w:val="24"/>
                <w:highlight w:val="none"/>
                <w:u w:val="single"/>
                <w:lang w:val="en-US" w:eastAsia="zh-CN"/>
              </w:rPr>
              <w:t>成交</w:t>
            </w:r>
            <w:r>
              <w:rPr>
                <w:rFonts w:hint="eastAsia" w:ascii="宋体" w:hAnsi="宋体" w:eastAsia="宋体" w:cs="宋体"/>
                <w:color w:val="auto"/>
                <w:sz w:val="24"/>
                <w:szCs w:val="24"/>
                <w:highlight w:val="none"/>
                <w:u w:val="single"/>
              </w:rPr>
              <w:t>人按担保金额向</w:t>
            </w:r>
            <w:r>
              <w:rPr>
                <w:rFonts w:hint="eastAsia" w:ascii="宋体" w:hAnsi="宋体" w:eastAsia="宋体" w:cs="宋体"/>
                <w:color w:val="auto"/>
                <w:sz w:val="24"/>
                <w:szCs w:val="24"/>
                <w:highlight w:val="none"/>
                <w:u w:val="single"/>
                <w:lang w:val="en-US" w:eastAsia="zh-CN"/>
              </w:rPr>
              <w:t>采购</w:t>
            </w:r>
            <w:r>
              <w:rPr>
                <w:rFonts w:hint="eastAsia" w:ascii="宋体" w:hAnsi="宋体" w:eastAsia="宋体" w:cs="宋体"/>
                <w:color w:val="auto"/>
                <w:sz w:val="24"/>
                <w:szCs w:val="24"/>
                <w:highlight w:val="none"/>
                <w:u w:val="single"/>
              </w:rPr>
              <w:t>人提交履约担保</w:t>
            </w:r>
            <w:r>
              <w:rPr>
                <w:rFonts w:hint="eastAsia" w:ascii="宋体" w:hAnsi="宋体" w:eastAsia="宋体" w:cs="宋体"/>
                <w:color w:val="auto"/>
                <w:sz w:val="24"/>
                <w:szCs w:val="24"/>
                <w:highlight w:val="none"/>
              </w:rPr>
              <w:t>。</w:t>
            </w:r>
          </w:p>
          <w:p>
            <w:pPr>
              <w:snapToGrid w:val="0"/>
              <w:spacing w:line="4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履约担保的期限：</w:t>
            </w:r>
            <w:r>
              <w:rPr>
                <w:rFonts w:hint="eastAsia" w:ascii="宋体" w:hAnsi="宋体" w:eastAsia="宋体" w:cs="宋体"/>
                <w:color w:val="auto"/>
                <w:sz w:val="24"/>
                <w:szCs w:val="24"/>
                <w:highlight w:val="none"/>
                <w:u w:val="single"/>
                <w:lang w:val="en-US" w:eastAsia="zh-CN"/>
              </w:rPr>
              <w:t>合同终止或解除为止</w:t>
            </w:r>
            <w:r>
              <w:rPr>
                <w:rFonts w:hint="eastAsia" w:ascii="宋体" w:hAnsi="宋体" w:eastAsia="宋体" w:cs="宋体"/>
                <w:color w:val="auto"/>
                <w:sz w:val="24"/>
                <w:szCs w:val="24"/>
                <w:highlight w:val="none"/>
              </w:rPr>
              <w:t>。</w:t>
            </w:r>
          </w:p>
          <w:p>
            <w:pPr>
              <w:spacing w:line="42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履约担保的退还时间：</w:t>
            </w:r>
            <w:r>
              <w:rPr>
                <w:rFonts w:hint="eastAsia" w:ascii="宋体" w:hAnsi="宋体" w:eastAsia="宋体" w:cs="宋体"/>
                <w:color w:val="auto"/>
                <w:sz w:val="24"/>
                <w:szCs w:val="24"/>
                <w:highlight w:val="none"/>
                <w:u w:val="single"/>
                <w:lang w:val="en-US" w:eastAsia="zh-CN"/>
              </w:rPr>
              <w:t>达到退还条件后一次性无息退还</w:t>
            </w:r>
            <w:r>
              <w:rPr>
                <w:rFonts w:hint="eastAsia" w:ascii="宋体" w:hAnsi="宋体" w:eastAsia="宋体" w:cs="宋体"/>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28</w:t>
            </w:r>
          </w:p>
        </w:tc>
        <w:tc>
          <w:tcPr>
            <w:tcW w:w="1257" w:type="dxa"/>
            <w:vAlign w:val="center"/>
          </w:tcPr>
          <w:p>
            <w:pPr>
              <w:snapToGrid w:val="0"/>
              <w:spacing w:line="400" w:lineRule="exact"/>
              <w:jc w:val="center"/>
              <w:rPr>
                <w:rFonts w:hint="eastAsia" w:ascii="宋体" w:hAnsi="宋体" w:eastAsia="宋体" w:cs="宋体"/>
                <w:b/>
                <w:color w:val="auto"/>
                <w:sz w:val="24"/>
                <w:szCs w:val="24"/>
                <w:highlight w:val="none"/>
              </w:rPr>
            </w:pPr>
            <w:r>
              <w:rPr>
                <w:rFonts w:hint="eastAsia" w:ascii="宋体" w:hAnsi="宋体" w:eastAsia="宋体" w:cs="宋体"/>
                <w:color w:val="auto"/>
                <w:kern w:val="0"/>
                <w:sz w:val="24"/>
                <w:szCs w:val="24"/>
                <w:highlight w:val="none"/>
                <w:lang w:val="en-US" w:eastAsia="zh-CN"/>
              </w:rPr>
              <w:t>结算原则</w:t>
            </w:r>
          </w:p>
        </w:tc>
        <w:tc>
          <w:tcPr>
            <w:tcW w:w="8856" w:type="dxa"/>
            <w:vAlign w:val="center"/>
          </w:tcPr>
          <w:p>
            <w:pPr>
              <w:keepNext w:val="0"/>
              <w:keepLines w:val="0"/>
              <w:pageBreakBefore w:val="0"/>
              <w:widowControl/>
              <w:numPr>
                <w:ilvl w:val="0"/>
                <w:numId w:val="4"/>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采取每季度结算，全额付款的方式。</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2、某项材料月度结算总价款=该项材料的成交单价*当月度实际采购数量+</w:t>
            </w:r>
            <w:r>
              <w:rPr>
                <w:rFonts w:hint="eastAsia" w:ascii="宋体" w:hAnsi="宋体" w:eastAsia="宋体" w:cs="宋体"/>
                <w:color w:val="auto"/>
                <w:kern w:val="0"/>
                <w:sz w:val="24"/>
                <w:szCs w:val="24"/>
                <w:highlight w:val="none"/>
                <w:u w:val="single"/>
                <w:lang w:val="en-US" w:eastAsia="zh-CN"/>
              </w:rPr>
              <w:t>增值税税金</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u w:val="single"/>
                <w:lang w:val="en-US" w:eastAsia="zh-CN"/>
              </w:rPr>
              <w:t>增值税</w:t>
            </w:r>
            <w:r>
              <w:rPr>
                <w:rFonts w:hint="eastAsia" w:ascii="宋体" w:hAnsi="宋体" w:eastAsia="宋体" w:cs="宋体"/>
                <w:color w:val="auto"/>
                <w:kern w:val="0"/>
                <w:sz w:val="24"/>
                <w:szCs w:val="24"/>
                <w:highlight w:val="none"/>
                <w:lang w:val="en-US" w:eastAsia="zh-CN" w:bidi="ar-SA"/>
              </w:rPr>
              <w:t>税金计算方法：</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①提供增值税专用发票，税金=成交单价×实际的合格工程量×实际税率；</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left="0" w:leftChars="0"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②提供增值税普通发票，税金=0</w:t>
            </w:r>
          </w:p>
          <w:p>
            <w:pPr>
              <w:pStyle w:val="2"/>
              <w:ind w:firstLine="240" w:firstLineChars="100"/>
              <w:rPr>
                <w:rFonts w:hint="eastAsia"/>
                <w:lang w:val="en-US" w:eastAsia="zh-CN"/>
              </w:rPr>
            </w:pPr>
            <w:r>
              <w:rPr>
                <w:rFonts w:hint="eastAsia" w:ascii="宋体" w:hAnsi="宋体" w:eastAsia="宋体" w:cs="宋体"/>
                <w:b w:val="0"/>
                <w:bCs w:val="0"/>
                <w:color w:val="auto"/>
                <w:kern w:val="0"/>
                <w:sz w:val="24"/>
                <w:szCs w:val="24"/>
                <w:highlight w:val="none"/>
                <w:lang w:val="en-US" w:eastAsia="zh-CN" w:bidi="ar-SA"/>
              </w:rPr>
              <w:t>（2）若规格型号发生变化，按成交报价中相同或类似项相应价格折算。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29</w:t>
            </w:r>
          </w:p>
        </w:tc>
        <w:tc>
          <w:tcPr>
            <w:tcW w:w="1257" w:type="dxa"/>
            <w:vAlign w:val="center"/>
          </w:tcPr>
          <w:p>
            <w:pPr>
              <w:snapToGrid w:val="0"/>
              <w:spacing w:after="124" w:afterLines="40" w:line="4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付款方式</w:t>
            </w:r>
          </w:p>
        </w:tc>
        <w:tc>
          <w:tcPr>
            <w:tcW w:w="8856" w:type="dxa"/>
            <w:vAlign w:val="center"/>
          </w:tcPr>
          <w:p>
            <w:pPr>
              <w:keepNext w:val="0"/>
              <w:keepLines w:val="0"/>
              <w:pageBreakBefore w:val="0"/>
              <w:widowControl/>
              <w:numPr>
                <w:ilvl w:val="0"/>
                <w:numId w:val="5"/>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每季度底结算当季度材料价款，次月支付。</w:t>
            </w:r>
          </w:p>
          <w:p>
            <w:pPr>
              <w:keepNext w:val="0"/>
              <w:keepLines w:val="0"/>
              <w:pageBreakBefore w:val="0"/>
              <w:widowControl/>
              <w:numPr>
                <w:ilvl w:val="0"/>
                <w:numId w:val="5"/>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en-US" w:eastAsia="zh-CN" w:bidi="ar-SA"/>
              </w:rPr>
              <w:t>材料款支付前，供应商必须提供合法有效的增值税发票且票额与计划支付金额相匹配，及采购人所需的付款依据。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766" w:type="dxa"/>
            <w:vAlign w:val="center"/>
          </w:tcPr>
          <w:p>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30</w:t>
            </w:r>
          </w:p>
        </w:tc>
        <w:tc>
          <w:tcPr>
            <w:tcW w:w="1257" w:type="dxa"/>
            <w:vAlign w:val="center"/>
          </w:tcPr>
          <w:p>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付款票据</w:t>
            </w:r>
          </w:p>
        </w:tc>
        <w:tc>
          <w:tcPr>
            <w:tcW w:w="8856" w:type="dxa"/>
            <w:vAlign w:val="center"/>
          </w:tcPr>
          <w:p>
            <w:pPr>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0"/>
                <w:sz w:val="24"/>
                <w:szCs w:val="24"/>
                <w:highlight w:val="none"/>
                <w:lang w:val="en-US" w:eastAsia="zh-CN" w:bidi="ar-SA"/>
              </w:rPr>
              <w:t>支付款项时需提供增值税发票（专用发票或普通发票）。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7"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b/>
                <w:color w:val="auto"/>
                <w:kern w:val="0"/>
                <w:sz w:val="24"/>
                <w:szCs w:val="24"/>
                <w:highlight w:val="none"/>
              </w:rPr>
              <w:t>3</w:t>
            </w:r>
            <w:r>
              <w:rPr>
                <w:rFonts w:hint="eastAsia" w:ascii="宋体" w:hAnsi="宋体" w:eastAsia="宋体" w:cs="宋体"/>
                <w:b/>
                <w:color w:val="auto"/>
                <w:kern w:val="0"/>
                <w:sz w:val="24"/>
                <w:szCs w:val="24"/>
                <w:highlight w:val="none"/>
                <w:lang w:val="en-US" w:eastAsia="zh-CN"/>
              </w:rPr>
              <w:t>1</w:t>
            </w:r>
          </w:p>
        </w:tc>
        <w:tc>
          <w:tcPr>
            <w:tcW w:w="1257" w:type="dxa"/>
            <w:vAlign w:val="center"/>
          </w:tcPr>
          <w:p>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定选办法</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1.《清单》中相同项，符合性审查合格的供应商以按响应报价由低到高的原则排序。若出现供应商响应报价相同的，由评审小组按照抽签原则排序。</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2.采购人清单序列中指定或未指定品牌的材料，同规格型号报价最低的为成交供应商。</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C00000"/>
                <w:kern w:val="0"/>
                <w:sz w:val="24"/>
                <w:szCs w:val="24"/>
                <w:highlight w:val="none"/>
                <w:lang w:val="en-US" w:eastAsia="zh-CN" w:bidi="ar-SA"/>
              </w:rPr>
            </w:pPr>
            <w:r>
              <w:rPr>
                <w:rFonts w:hint="eastAsia" w:ascii="宋体" w:hAnsi="宋体" w:eastAsia="宋体" w:cs="宋体"/>
                <w:color w:val="C00000"/>
                <w:kern w:val="0"/>
                <w:sz w:val="24"/>
                <w:szCs w:val="24"/>
                <w:highlight w:val="none"/>
                <w:lang w:val="en-US" w:eastAsia="zh-CN" w:bidi="ar-SA"/>
              </w:rPr>
              <w:t>3.若参与供应商最低报价的清单子项在</w:t>
            </w:r>
            <w:r>
              <w:rPr>
                <w:rFonts w:hint="eastAsia" w:ascii="宋体" w:hAnsi="宋体" w:cs="宋体"/>
                <w:color w:val="C00000"/>
                <w:kern w:val="0"/>
                <w:sz w:val="24"/>
                <w:szCs w:val="24"/>
                <w:highlight w:val="none"/>
                <w:lang w:val="en-US" w:eastAsia="zh-CN" w:bidi="ar-SA"/>
              </w:rPr>
              <w:t>1</w:t>
            </w:r>
            <w:r>
              <w:rPr>
                <w:rFonts w:hint="eastAsia" w:ascii="宋体" w:hAnsi="宋体" w:eastAsia="宋体" w:cs="宋体"/>
                <w:color w:val="C00000"/>
                <w:kern w:val="0"/>
                <w:sz w:val="24"/>
                <w:szCs w:val="24"/>
                <w:highlight w:val="none"/>
                <w:lang w:val="en-US" w:eastAsia="zh-CN" w:bidi="ar-SA"/>
              </w:rPr>
              <w:t>0项以下的，不参与排序且不视为该供应商为成交候选人。</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若第一成交人候选人以书面方式提出放弃成交人权益。按成交人候选人排序依次作为成交人，以第一成交人候选人所报的成交人价签订合同；如均不愿按第一成交人候选人的成交人价签订合同，则重新进行询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9"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b/>
                <w:color w:val="auto"/>
                <w:kern w:val="0"/>
                <w:sz w:val="24"/>
                <w:szCs w:val="24"/>
                <w:highlight w:val="none"/>
              </w:rPr>
              <w:t>3</w:t>
            </w:r>
            <w:r>
              <w:rPr>
                <w:rFonts w:hint="eastAsia" w:ascii="宋体" w:hAnsi="宋体" w:eastAsia="宋体" w:cs="宋体"/>
                <w:b/>
                <w:color w:val="auto"/>
                <w:kern w:val="0"/>
                <w:sz w:val="24"/>
                <w:szCs w:val="24"/>
                <w:highlight w:val="none"/>
                <w:lang w:val="en-US" w:eastAsia="zh-CN"/>
              </w:rPr>
              <w:t>2</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废弃条款</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1、供应商名称与资格审查竞价申请人名称不一致的；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2、响应文件未按规定的格式和要求填写，内容不全或者关键内容字迹模糊、无法辨认的；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3、供应商同时提交两份或者多份内容不同的响应文件的；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4、响应文件附有采购人不能接受的条件的；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5、响应文件的几个组成部分的任一部分被认定为无效的；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6、供应商未按评审小组要求在规定时间内提供原件核验的；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7、报价函为手工填写的或报价超过最高限价的；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8、清单单价×工程量的合计与报价函的总价不一致的；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9、在规定时间段外的时间发送响应文件的；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10、非PDF格式的响应文件原件彩色扫描件的；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auto"/>
                <w:kern w:val="0"/>
                <w:sz w:val="24"/>
                <w:szCs w:val="24"/>
                <w:highlight w:val="none"/>
                <w:lang w:val="en-US" w:eastAsia="zh-CN" w:bidi="ar-SA"/>
              </w:rPr>
              <w:t>11、样品未在规定时间前送达指定地点的。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b/>
                <w:color w:val="auto"/>
                <w:kern w:val="0"/>
                <w:sz w:val="24"/>
                <w:szCs w:val="24"/>
                <w:highlight w:val="none"/>
                <w:lang w:val="en-US" w:eastAsia="zh-CN"/>
              </w:rPr>
              <w:t>33</w:t>
            </w:r>
          </w:p>
        </w:tc>
        <w:tc>
          <w:tcPr>
            <w:tcW w:w="1257" w:type="dxa"/>
            <w:vAlign w:val="center"/>
          </w:tcPr>
          <w:p>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合同签订</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收到成交人通知书后15个工作日内完成合同签订，否则采购人有权取消成交人资格。如未在约定时间签订合同，将取消成交供应商资格，期间已供货物按本公告进行结算，取消资格后将由第二成交候选人作为成交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8"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rPr>
            </w:pPr>
            <w:r>
              <w:rPr>
                <w:rFonts w:hint="eastAsia" w:ascii="宋体" w:hAnsi="宋体" w:eastAsia="宋体" w:cs="宋体"/>
                <w:b/>
                <w:color w:val="auto"/>
                <w:kern w:val="0"/>
                <w:sz w:val="24"/>
                <w:szCs w:val="24"/>
                <w:highlight w:val="none"/>
                <w:lang w:val="en-US" w:eastAsia="zh-CN"/>
              </w:rPr>
              <w:t>34</w:t>
            </w:r>
          </w:p>
        </w:tc>
        <w:tc>
          <w:tcPr>
            <w:tcW w:w="1257" w:type="dxa"/>
            <w:vAlign w:val="center"/>
          </w:tcPr>
          <w:p>
            <w:pPr>
              <w:tabs>
                <w:tab w:val="left" w:pos="1620"/>
              </w:tabs>
              <w:spacing w:line="300" w:lineRule="auto"/>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重新采购及流选处理办法</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1、重新采购</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(l）采购活动时间止，参与供应商少于2 个的；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(2）经评审小组评审后否决所有采购响应文件的;</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(3）经评审后，如合格的供应商少于1个的，且明显缺乏竞争的，评审小组可以否决全部采购响应文件，采购人将重新组织采购（定为第二次采购）。</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2、流选处理办法</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 当第二次采购流选时，采购人可不再组织采购，将采取合适的方式自行确认成交人。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6"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rPr>
            </w:pPr>
            <w:r>
              <w:rPr>
                <w:rFonts w:hint="eastAsia" w:ascii="宋体" w:hAnsi="宋体" w:eastAsia="宋体" w:cs="宋体"/>
                <w:b/>
                <w:color w:val="auto"/>
                <w:kern w:val="0"/>
                <w:sz w:val="24"/>
                <w:szCs w:val="24"/>
                <w:highlight w:val="none"/>
                <w:lang w:val="en-US" w:eastAsia="zh-CN"/>
              </w:rPr>
              <w:t>35</w:t>
            </w:r>
          </w:p>
        </w:tc>
        <w:tc>
          <w:tcPr>
            <w:tcW w:w="1257" w:type="dxa"/>
            <w:vAlign w:val="center"/>
          </w:tcPr>
          <w:p>
            <w:pPr>
              <w:snapToGrid w:val="0"/>
              <w:spacing w:after="124" w:afterLines="40" w:line="400" w:lineRule="exact"/>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违约处理</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采购人第一次发现供应商所供货物未按约定供应或未达到约定质量要求，按当批所供货物货款的3倍处以违约金（但不超过履约保证金）并在货款中扣除，第二次发现该违约情况，采购人有权单方直接解除本合同，并取消供应商供货资格，如造成重大损失则要追求供应商的法律责任，履约保证金不予退还。</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、合同一方违反廉洁</w:t>
            </w:r>
            <w:r>
              <w:rPr>
                <w:rFonts w:hint="eastAsia" w:ascii="宋体" w:hAnsi="宋体" w:cs="宋体"/>
                <w:color w:val="auto"/>
                <w:kern w:val="0"/>
                <w:sz w:val="24"/>
                <w:szCs w:val="24"/>
                <w:highlight w:val="none"/>
                <w:lang w:val="en-US" w:eastAsia="zh-CN" w:bidi="ar-SA"/>
              </w:rPr>
              <w:t>行为</w:t>
            </w:r>
            <w:r>
              <w:rPr>
                <w:rFonts w:hint="eastAsia" w:ascii="宋体" w:hAnsi="宋体" w:eastAsia="宋体" w:cs="宋体"/>
                <w:color w:val="auto"/>
                <w:kern w:val="0"/>
                <w:sz w:val="24"/>
                <w:szCs w:val="24"/>
                <w:highlight w:val="none"/>
                <w:lang w:val="en-US" w:eastAsia="zh-CN" w:bidi="ar-SA"/>
              </w:rPr>
              <w:t>的，</w:t>
            </w:r>
            <w:r>
              <w:rPr>
                <w:rFonts w:hint="eastAsia" w:ascii="宋体" w:hAnsi="宋体" w:cs="宋体"/>
                <w:color w:val="auto"/>
                <w:kern w:val="0"/>
                <w:sz w:val="24"/>
                <w:szCs w:val="24"/>
                <w:highlight w:val="none"/>
                <w:lang w:val="en-US" w:eastAsia="zh-CN" w:bidi="ar-SA"/>
              </w:rPr>
              <w:t>视为违约，执行双方签订的《</w:t>
            </w:r>
            <w:r>
              <w:rPr>
                <w:rFonts w:hint="default" w:ascii="宋体" w:hAnsi="宋体" w:eastAsia="宋体" w:cs="宋体"/>
                <w:color w:val="auto"/>
                <w:kern w:val="0"/>
                <w:sz w:val="24"/>
                <w:szCs w:val="24"/>
                <w:highlight w:val="none"/>
                <w:lang w:val="en-US" w:eastAsia="zh-CN" w:bidi="ar-SA"/>
              </w:rPr>
              <w:t>廉洁合作承诺书</w:t>
            </w:r>
            <w:r>
              <w:rPr>
                <w:rFonts w:hint="eastAsia" w:ascii="宋体" w:hAnsi="宋体" w:cs="宋体"/>
                <w:color w:val="auto"/>
                <w:kern w:val="0"/>
                <w:sz w:val="24"/>
                <w:szCs w:val="24"/>
                <w:highlight w:val="none"/>
                <w:lang w:val="en-US" w:eastAsia="zh-CN" w:bidi="ar-SA"/>
              </w:rPr>
              <w:t>》</w:t>
            </w:r>
            <w:r>
              <w:rPr>
                <w:rFonts w:hint="eastAsia" w:ascii="宋体" w:hAnsi="宋体" w:eastAsia="宋体" w:cs="宋体"/>
                <w:color w:val="auto"/>
                <w:kern w:val="0"/>
                <w:sz w:val="24"/>
                <w:szCs w:val="24"/>
                <w:highlight w:val="none"/>
                <w:lang w:val="en-US" w:eastAsia="zh-CN" w:bidi="ar-SA"/>
              </w:rPr>
              <w:t>，且守约方可据此解除合同，如因此触犯刑律的，守约方方可向司法机关举报、控告。</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甲、乙任何一方如确因不可抗力的原因，不能履行本合同时，应及时向对方通知不能履行或须延期履行、部分履行合同的理由。在取得对方同意后，本合同可以不履行或延期履行或部分履行，并免于承担违约责任。</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4</w:t>
            </w:r>
            <w:r>
              <w:rPr>
                <w:rFonts w:hint="eastAsia" w:ascii="宋体" w:hAnsi="宋体" w:eastAsia="宋体" w:cs="宋体"/>
                <w:color w:val="auto"/>
                <w:kern w:val="0"/>
                <w:sz w:val="24"/>
                <w:szCs w:val="24"/>
                <w:highlight w:val="none"/>
                <w:lang w:val="en-US" w:eastAsia="zh-CN" w:bidi="ar-SA"/>
              </w:rPr>
              <w:t>、供应商应向采购人支付的违约金，采购人有权在应付而未付款中扣除，违约金不足以弥补采购人损失，采购人有权继续向乙方追偿。</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5、因违约解除供货资格的供应商不再参与采购人相关采购活动。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pPr>
              <w:adjustRightInd w:val="0"/>
              <w:jc w:val="center"/>
              <w:rPr>
                <w:rFonts w:hint="eastAsia" w:ascii="宋体" w:hAnsi="宋体" w:eastAsia="宋体" w:cs="宋体"/>
                <w:b/>
                <w:color w:val="auto"/>
                <w:kern w:val="0"/>
                <w:sz w:val="24"/>
                <w:szCs w:val="24"/>
                <w:highlight w:val="none"/>
                <w:lang w:val="en-US" w:eastAsia="zh-CN"/>
              </w:rPr>
            </w:pPr>
            <w:r>
              <w:rPr>
                <w:rFonts w:hint="eastAsia" w:ascii="宋体" w:hAnsi="宋体" w:eastAsia="宋体" w:cs="宋体"/>
                <w:b/>
                <w:color w:val="auto"/>
                <w:kern w:val="0"/>
                <w:sz w:val="24"/>
                <w:szCs w:val="24"/>
                <w:highlight w:val="none"/>
                <w:lang w:val="en-US" w:eastAsia="zh-CN"/>
              </w:rPr>
              <w:t>36</w:t>
            </w:r>
          </w:p>
        </w:tc>
        <w:tc>
          <w:tcPr>
            <w:tcW w:w="1257" w:type="dxa"/>
            <w:vAlign w:val="center"/>
          </w:tcPr>
          <w:p>
            <w:pPr>
              <w:snapToGrid w:val="0"/>
              <w:spacing w:after="124" w:afterLines="40" w:line="400" w:lineRule="exact"/>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特别说明</w:t>
            </w:r>
          </w:p>
        </w:tc>
        <w:tc>
          <w:tcPr>
            <w:tcW w:w="885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1、因成交人原因造成的返工，其材料及人工均由成交人自行承担。</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2、成交人需无条件配合进行验收并提供相关资料。</w:t>
            </w:r>
          </w:p>
          <w:p>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C00000"/>
                <w:kern w:val="0"/>
                <w:sz w:val="24"/>
                <w:szCs w:val="24"/>
                <w:highlight w:val="none"/>
                <w:lang w:val="en-US" w:eastAsia="zh-CN" w:bidi="ar-SA"/>
              </w:rPr>
              <w:t>3、成交人须具有创新设计能力，如成交人累计3次不能按采购人要求提交满意的设计方案文本，视为违约，采购人将有权解除合同，履约保证金不予退还。</w:t>
            </w:r>
          </w:p>
        </w:tc>
      </w:tr>
    </w:tbl>
    <w:p>
      <w:pPr>
        <w:rPr>
          <w:rFonts w:hint="eastAsia" w:ascii="宋体" w:hAnsi="宋体" w:eastAsia="宋体" w:cs="宋体"/>
          <w:snapToGrid w:val="0"/>
          <w:color w:val="auto"/>
          <w:sz w:val="24"/>
          <w:szCs w:val="24"/>
          <w:highlight w:val="none"/>
        </w:rPr>
      </w:pPr>
    </w:p>
    <w:p>
      <w:pPr>
        <w:rPr>
          <w:rFonts w:hint="eastAsia" w:ascii="宋体" w:hAnsi="宋体" w:eastAsia="宋体" w:cs="宋体"/>
          <w:snapToGrid w:val="0"/>
          <w:color w:val="auto"/>
          <w:sz w:val="24"/>
          <w:szCs w:val="24"/>
          <w:highlight w:val="none"/>
          <w:lang w:eastAsia="zh-CN"/>
        </w:rPr>
      </w:pPr>
      <w:r>
        <w:rPr>
          <w:rFonts w:hint="eastAsia" w:ascii="宋体" w:hAnsi="宋体" w:cs="宋体"/>
          <w:snapToGrid w:val="0"/>
          <w:color w:val="auto"/>
          <w:sz w:val="24"/>
          <w:szCs w:val="24"/>
          <w:highlight w:val="none"/>
        </w:rPr>
        <w:t>联系方式</w:t>
      </w:r>
      <w:r>
        <w:rPr>
          <w:rFonts w:hint="eastAsia" w:ascii="宋体" w:hAnsi="宋体" w:cs="宋体"/>
          <w:snapToGrid w:val="0"/>
          <w:color w:val="auto"/>
          <w:sz w:val="24"/>
          <w:szCs w:val="24"/>
          <w:highlight w:val="none"/>
          <w:lang w:eastAsia="zh-CN"/>
        </w:rPr>
        <w:t>：</w:t>
      </w:r>
    </w:p>
    <w:bookmarkEnd w:id="0"/>
    <w:bookmarkEnd w:id="1"/>
    <w:bookmarkEnd w:id="2"/>
    <w:p>
      <w:pPr>
        <w:tabs>
          <w:tab w:val="left" w:pos="1425"/>
        </w:tabs>
        <w:spacing w:line="480" w:lineRule="exact"/>
        <w:ind w:firstLine="480" w:firstLineChars="200"/>
        <w:rPr>
          <w:rFonts w:ascii="宋体" w:hAnsi="宋体" w:cs="宋体"/>
          <w:sz w:val="24"/>
        </w:rPr>
      </w:pPr>
      <w:r>
        <w:rPr>
          <w:rFonts w:hint="eastAsia" w:ascii="宋体" w:hAnsi="宋体" w:cs="宋体"/>
          <w:sz w:val="24"/>
        </w:rPr>
        <w:t>采购人：垫江县小厦建筑有限公司</w:t>
      </w:r>
    </w:p>
    <w:p>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地 址：重庆市垫江县桂西大道财富大厦1504室</w:t>
      </w:r>
    </w:p>
    <w:p>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联系人：董</w:t>
      </w:r>
      <w:r>
        <w:rPr>
          <w:rFonts w:hint="eastAsia" w:ascii="宋体" w:hAnsi="宋体" w:cs="宋体"/>
          <w:sz w:val="24"/>
          <w:lang w:val="en-US" w:eastAsia="zh-CN"/>
        </w:rPr>
        <w:t>老师</w:t>
      </w:r>
      <w:r>
        <w:rPr>
          <w:rFonts w:hint="eastAsia" w:ascii="宋体" w:hAnsi="宋体" w:cs="宋体"/>
          <w:sz w:val="24"/>
        </w:rPr>
        <w:t xml:space="preserve">     </w:t>
      </w:r>
    </w:p>
    <w:p>
      <w:pPr>
        <w:ind w:firstLine="480" w:firstLineChars="200"/>
        <w:rPr>
          <w:rFonts w:ascii="宋体" w:hAnsi="宋体" w:cs="宋体"/>
          <w:sz w:val="24"/>
        </w:rPr>
      </w:pPr>
      <w:r>
        <w:rPr>
          <w:rFonts w:hint="eastAsia" w:ascii="宋体" w:hAnsi="宋体" w:cs="宋体"/>
          <w:sz w:val="24"/>
        </w:rPr>
        <w:t>电 话：02374644966   13896607377</w:t>
      </w:r>
    </w:p>
    <w:p>
      <w:pPr>
        <w:ind w:firstLine="480" w:firstLineChars="200"/>
        <w:rPr>
          <w:rFonts w:hint="eastAsia"/>
          <w:color w:val="auto"/>
          <w:highlight w:val="none"/>
        </w:rPr>
      </w:pPr>
      <w:r>
        <w:rPr>
          <w:rFonts w:hint="eastAsia" w:ascii="宋体" w:hAnsi="宋体" w:cs="宋体"/>
          <w:sz w:val="24"/>
        </w:rPr>
        <w:t>邮  箱：</w:t>
      </w:r>
    </w:p>
    <w:p>
      <w:pPr>
        <w:keepNext w:val="0"/>
        <w:keepLines w:val="0"/>
        <w:pageBreakBefore/>
        <w:widowControl w:val="0"/>
        <w:kinsoku/>
        <w:wordWrap/>
        <w:overflowPunct/>
        <w:topLinePunct w:val="0"/>
        <w:autoSpaceDE/>
        <w:autoSpaceDN/>
        <w:bidi w:val="0"/>
        <w:adjustRightInd/>
        <w:snapToGrid/>
        <w:textAlignment w:val="auto"/>
        <w:rPr>
          <w:rFonts w:hint="eastAsia" w:ascii="仿宋" w:hAnsi="仿宋" w:eastAsia="仿宋" w:cs="仿宋"/>
          <w:color w:val="auto"/>
          <w:highlight w:val="none"/>
        </w:rPr>
      </w:pPr>
      <w:r>
        <w:rPr>
          <w:rFonts w:hint="eastAsia" w:ascii="仿宋" w:hAnsi="仿宋" w:eastAsia="仿宋" w:cs="仿宋"/>
          <w:color w:val="auto"/>
          <w:highlight w:val="none"/>
        </w:rPr>
        <w:t>附件1：</w:t>
      </w:r>
      <w:r>
        <w:rPr>
          <w:rFonts w:hint="eastAsia" w:ascii="仿宋" w:hAnsi="仿宋" w:eastAsia="仿宋" w:cs="仿宋"/>
          <w:snapToGrid w:val="0"/>
          <w:color w:val="auto"/>
          <w:kern w:val="0"/>
          <w:sz w:val="24"/>
          <w:highlight w:val="none"/>
          <w:lang w:eastAsia="zh-CN"/>
        </w:rPr>
        <w:t>垫江县小厦建筑有限公司</w:t>
      </w:r>
      <w:r>
        <w:rPr>
          <w:rFonts w:hint="eastAsia" w:ascii="仿宋" w:hAnsi="仿宋" w:eastAsia="仿宋" w:cs="仿宋"/>
          <w:color w:val="auto"/>
          <w:highlight w:val="none"/>
        </w:rPr>
        <w:t>合同</w:t>
      </w:r>
    </w:p>
    <w:p>
      <w:pPr>
        <w:rPr>
          <w:rFonts w:hint="eastAsia" w:ascii="仿宋" w:hAnsi="仿宋" w:eastAsia="仿宋" w:cs="仿宋"/>
          <w:color w:val="auto"/>
          <w:highlight w:val="none"/>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720" w:firstLineChars="200"/>
        <w:jc w:val="both"/>
        <w:textAlignment w:val="auto"/>
        <w:rPr>
          <w:rFonts w:hint="eastAsia" w:ascii="仿宋" w:hAnsi="仿宋" w:eastAsia="仿宋" w:cs="仿宋"/>
          <w:color w:val="auto"/>
          <w:sz w:val="36"/>
          <w:szCs w:val="36"/>
          <w:highlight w:val="none"/>
          <w:lang w:eastAsia="zh-CN"/>
        </w:rPr>
      </w:pPr>
    </w:p>
    <w:p>
      <w:pPr>
        <w:jc w:val="center"/>
        <w:rPr>
          <w:rFonts w:hint="eastAsia" w:ascii="仿宋" w:hAnsi="仿宋" w:eastAsia="仿宋" w:cs="仿宋"/>
          <w:b/>
          <w:bCs/>
          <w:color w:val="auto"/>
          <w:sz w:val="36"/>
          <w:szCs w:val="36"/>
          <w:highlight w:val="none"/>
          <w:lang w:eastAsia="zh-CN"/>
        </w:rPr>
      </w:pPr>
      <w:r>
        <w:rPr>
          <w:rFonts w:hint="eastAsia" w:ascii="仿宋" w:hAnsi="仿宋" w:eastAsia="仿宋" w:cs="仿宋"/>
          <w:b/>
          <w:bCs/>
          <w:color w:val="auto"/>
          <w:sz w:val="36"/>
          <w:szCs w:val="36"/>
          <w:highlight w:val="none"/>
          <w:lang w:eastAsia="zh-CN"/>
        </w:rPr>
        <w:t>垫江县小厦建筑有限</w:t>
      </w:r>
      <w:r>
        <w:rPr>
          <w:rFonts w:hint="eastAsia" w:ascii="仿宋" w:hAnsi="仿宋" w:eastAsia="仿宋" w:cs="仿宋"/>
          <w:b/>
          <w:bCs/>
          <w:color w:val="auto"/>
          <w:sz w:val="36"/>
          <w:szCs w:val="36"/>
          <w:highlight w:val="none"/>
          <w:lang w:val="en-US" w:eastAsia="zh-CN"/>
        </w:rPr>
        <w:t>公</w:t>
      </w:r>
      <w:r>
        <w:rPr>
          <w:rFonts w:hint="eastAsia" w:ascii="仿宋" w:hAnsi="仿宋" w:eastAsia="仿宋" w:cs="仿宋"/>
          <w:b/>
          <w:bCs/>
          <w:color w:val="auto"/>
          <w:sz w:val="36"/>
          <w:szCs w:val="36"/>
          <w:highlight w:val="none"/>
          <w:lang w:eastAsia="zh-CN"/>
        </w:rPr>
        <w:t>司广告及</w:t>
      </w:r>
      <w:r>
        <w:rPr>
          <w:rFonts w:hint="eastAsia" w:ascii="仿宋" w:hAnsi="仿宋" w:eastAsia="仿宋" w:cs="仿宋"/>
          <w:b/>
          <w:bCs/>
          <w:color w:val="auto"/>
          <w:sz w:val="36"/>
          <w:szCs w:val="36"/>
          <w:highlight w:val="none"/>
          <w:lang w:val="en-US" w:eastAsia="zh-CN"/>
        </w:rPr>
        <w:t>标识</w:t>
      </w:r>
      <w:r>
        <w:rPr>
          <w:rFonts w:hint="eastAsia" w:ascii="仿宋" w:hAnsi="仿宋" w:eastAsia="仿宋" w:cs="仿宋"/>
          <w:b/>
          <w:bCs/>
          <w:color w:val="auto"/>
          <w:sz w:val="36"/>
          <w:szCs w:val="36"/>
          <w:highlight w:val="none"/>
          <w:lang w:eastAsia="zh-CN"/>
        </w:rPr>
        <w:t>标牌</w:t>
      </w:r>
    </w:p>
    <w:p>
      <w:pPr>
        <w:jc w:val="center"/>
        <w:rPr>
          <w:rFonts w:hint="eastAsia" w:ascii="仿宋" w:hAnsi="仿宋" w:eastAsia="仿宋" w:cs="仿宋"/>
          <w:b/>
          <w:bCs/>
          <w:color w:val="auto"/>
          <w:sz w:val="36"/>
          <w:szCs w:val="36"/>
          <w:highlight w:val="none"/>
          <w:lang w:val="en-US" w:eastAsia="zh-CN"/>
        </w:rPr>
      </w:pPr>
      <w:r>
        <w:rPr>
          <w:rFonts w:hint="eastAsia" w:ascii="仿宋" w:hAnsi="仿宋" w:eastAsia="仿宋" w:cs="仿宋"/>
          <w:b/>
          <w:bCs/>
          <w:color w:val="auto"/>
          <w:sz w:val="36"/>
          <w:szCs w:val="36"/>
          <w:highlight w:val="none"/>
          <w:lang w:eastAsia="zh-CN"/>
        </w:rPr>
        <w:t>供应商征集合同</w:t>
      </w:r>
    </w:p>
    <w:p>
      <w:pPr>
        <w:pStyle w:val="2"/>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p>
    <w:p>
      <w:pPr>
        <w:rPr>
          <w:rFonts w:hint="eastAsia" w:ascii="仿宋" w:hAnsi="仿宋" w:eastAsia="仿宋" w:cs="仿宋"/>
          <w:color w:val="auto"/>
          <w:highlight w:val="none"/>
          <w:lang w:val="en-US" w:eastAsia="zh-CN"/>
        </w:rPr>
      </w:pPr>
    </w:p>
    <w:p>
      <w:pPr>
        <w:pStyle w:val="2"/>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p>
    <w:p>
      <w:pPr>
        <w:rPr>
          <w:rFonts w:hint="eastAsia" w:ascii="仿宋" w:hAnsi="仿宋" w:eastAsia="仿宋" w:cs="仿宋"/>
          <w:color w:val="auto"/>
          <w:highlight w:val="none"/>
          <w:lang w:val="en-US" w:eastAsia="zh-CN"/>
        </w:rPr>
      </w:pPr>
    </w:p>
    <w:p>
      <w:pPr>
        <w:pStyle w:val="2"/>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（合同编号：                       ）</w:t>
      </w:r>
    </w:p>
    <w:p>
      <w:pPr>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p>
    <w:p>
      <w:pPr>
        <w:rPr>
          <w:rFonts w:hint="eastAsia" w:ascii="仿宋" w:hAnsi="仿宋" w:eastAsia="仿宋" w:cs="仿宋"/>
          <w:color w:val="auto"/>
          <w:highlight w:val="none"/>
          <w:lang w:val="en-US" w:eastAsia="zh-CN"/>
        </w:rPr>
      </w:pPr>
    </w:p>
    <w:p>
      <w:pPr>
        <w:pStyle w:val="2"/>
        <w:rPr>
          <w:rFonts w:hint="eastAsia" w:ascii="仿宋" w:hAnsi="仿宋" w:eastAsia="仿宋" w:cs="仿宋"/>
          <w:color w:val="auto"/>
          <w:sz w:val="36"/>
          <w:szCs w:val="36"/>
          <w:highlight w:val="none"/>
          <w:lang w:val="en-US" w:eastAsia="zh-CN"/>
        </w:rPr>
      </w:pPr>
    </w:p>
    <w:p>
      <w:pPr>
        <w:rPr>
          <w:rFonts w:hint="eastAsia" w:ascii="仿宋" w:hAnsi="仿宋" w:eastAsia="仿宋" w:cs="仿宋"/>
          <w:color w:val="auto"/>
          <w:highlight w:val="none"/>
          <w:lang w:val="en-US" w:eastAsia="zh-CN"/>
        </w:rPr>
      </w:pPr>
    </w:p>
    <w:p>
      <w:pPr>
        <w:rPr>
          <w:rFonts w:hint="eastAsia" w:ascii="仿宋" w:hAnsi="仿宋" w:eastAsia="仿宋" w:cs="仿宋"/>
          <w:color w:val="auto"/>
          <w:highlight w:val="none"/>
          <w:lang w:val="en-US" w:eastAsia="zh-CN"/>
        </w:rPr>
      </w:pPr>
    </w:p>
    <w:p>
      <w:pPr>
        <w:pStyle w:val="2"/>
        <w:rPr>
          <w:rFonts w:hint="eastAsia" w:ascii="仿宋" w:hAnsi="仿宋" w:eastAsia="仿宋" w:cs="仿宋"/>
          <w:color w:val="auto"/>
          <w:sz w:val="36"/>
          <w:szCs w:val="36"/>
          <w:highlight w:val="none"/>
          <w:u w:val="single"/>
          <w:lang w:val="en-US" w:eastAsia="zh-CN"/>
        </w:rPr>
      </w:pPr>
      <w:r>
        <w:rPr>
          <w:rFonts w:hint="eastAsia" w:ascii="仿宋" w:hAnsi="仿宋" w:eastAsia="仿宋" w:cs="仿宋"/>
          <w:color w:val="auto"/>
          <w:sz w:val="36"/>
          <w:szCs w:val="36"/>
          <w:highlight w:val="none"/>
          <w:lang w:val="en-US" w:eastAsia="zh-CN"/>
        </w:rPr>
        <w:t>甲方（需方）：</w:t>
      </w:r>
      <w:r>
        <w:rPr>
          <w:rFonts w:hint="eastAsia" w:ascii="仿宋" w:hAnsi="仿宋" w:eastAsia="仿宋" w:cs="仿宋"/>
          <w:color w:val="auto"/>
          <w:sz w:val="36"/>
          <w:szCs w:val="36"/>
          <w:highlight w:val="none"/>
          <w:u w:val="single"/>
          <w:lang w:val="en-US" w:eastAsia="zh-CN"/>
        </w:rPr>
        <w:t>垫江县小厦建筑有限公司</w:t>
      </w:r>
    </w:p>
    <w:p>
      <w:pPr>
        <w:pStyle w:val="2"/>
        <w:rPr>
          <w:rFonts w:hint="eastAsia" w:ascii="仿宋" w:hAnsi="仿宋" w:eastAsia="仿宋" w:cs="仿宋"/>
          <w:color w:val="auto"/>
          <w:sz w:val="36"/>
          <w:szCs w:val="36"/>
          <w:highlight w:val="none"/>
          <w:lang w:val="en-US" w:eastAsia="zh-CN"/>
        </w:rPr>
      </w:pPr>
    </w:p>
    <w:p>
      <w:pPr>
        <w:pStyle w:val="2"/>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乙方（供方）：</w:t>
      </w:r>
      <w:r>
        <w:rPr>
          <w:rFonts w:hint="eastAsia" w:ascii="仿宋" w:hAnsi="仿宋" w:eastAsia="仿宋" w:cs="仿宋"/>
          <w:color w:val="auto"/>
          <w:sz w:val="36"/>
          <w:szCs w:val="36"/>
          <w:highlight w:val="none"/>
          <w:u w:val="single"/>
          <w:lang w:val="en-US" w:eastAsia="zh-CN"/>
        </w:rPr>
        <w:t xml:space="preserve">                      </w:t>
      </w:r>
    </w:p>
    <w:p>
      <w:pPr>
        <w:pStyle w:val="2"/>
        <w:rPr>
          <w:rFonts w:hint="eastAsia" w:ascii="仿宋" w:hAnsi="仿宋" w:eastAsia="仿宋" w:cs="仿宋"/>
          <w:color w:val="auto"/>
          <w:sz w:val="36"/>
          <w:szCs w:val="36"/>
          <w:highlight w:val="none"/>
          <w:lang w:val="en-US" w:eastAsia="zh-CN"/>
        </w:rPr>
      </w:pPr>
    </w:p>
    <w:p>
      <w:pPr>
        <w:jc w:val="center"/>
        <w:rPr>
          <w:rFonts w:hint="eastAsia" w:ascii="仿宋" w:hAnsi="仿宋" w:eastAsia="仿宋" w:cs="仿宋"/>
          <w:color w:val="auto"/>
          <w:sz w:val="36"/>
          <w:szCs w:val="36"/>
          <w:highlight w:val="none"/>
          <w:lang w:val="en-US" w:eastAsia="zh-CN"/>
        </w:rPr>
      </w:pPr>
    </w:p>
    <w:p>
      <w:pPr>
        <w:jc w:val="center"/>
        <w:rPr>
          <w:rFonts w:hint="eastAsia" w:ascii="仿宋" w:hAnsi="仿宋" w:eastAsia="仿宋" w:cs="仿宋"/>
          <w:color w:val="auto"/>
          <w:highlight w:val="none"/>
          <w:lang w:val="en-US" w:eastAsia="zh-CN"/>
        </w:rPr>
      </w:pPr>
      <w:r>
        <w:rPr>
          <w:rFonts w:hint="eastAsia" w:ascii="仿宋" w:hAnsi="仿宋" w:eastAsia="仿宋" w:cs="仿宋"/>
          <w:color w:val="auto"/>
          <w:sz w:val="36"/>
          <w:szCs w:val="36"/>
          <w:highlight w:val="none"/>
          <w:lang w:val="en-US" w:eastAsia="zh-CN"/>
        </w:rPr>
        <w:t>2024年  月  日</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pPr>
        <w:keepNext w:val="0"/>
        <w:keepLines w:val="0"/>
        <w:pageBreakBefore/>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仿宋" w:hAnsi="仿宋" w:eastAsia="仿宋" w:cs="仿宋"/>
          <w:b/>
          <w:bCs/>
          <w:i w:val="0"/>
          <w:iCs w:val="0"/>
          <w:color w:val="auto"/>
          <w:sz w:val="36"/>
          <w:szCs w:val="36"/>
          <w:highlight w:val="none"/>
          <w:u w:val="none"/>
          <w:lang w:eastAsia="zh-CN"/>
        </w:rPr>
      </w:pPr>
      <w:r>
        <w:rPr>
          <w:rFonts w:hint="eastAsia" w:ascii="仿宋" w:hAnsi="仿宋" w:eastAsia="仿宋" w:cs="仿宋"/>
          <w:b/>
          <w:bCs/>
          <w:i w:val="0"/>
          <w:iCs w:val="0"/>
          <w:color w:val="auto"/>
          <w:sz w:val="36"/>
          <w:szCs w:val="36"/>
          <w:highlight w:val="none"/>
          <w:u w:val="none"/>
          <w:lang w:val="en-US" w:eastAsia="zh-CN"/>
        </w:rPr>
        <w:t>垫江县小厦建筑有限公司广告及标识标牌供应商征集</w:t>
      </w:r>
      <w:r>
        <w:rPr>
          <w:rFonts w:hint="eastAsia" w:ascii="仿宋" w:hAnsi="仿宋" w:eastAsia="仿宋" w:cs="仿宋"/>
          <w:b/>
          <w:bCs/>
          <w:i w:val="0"/>
          <w:iCs w:val="0"/>
          <w:color w:val="auto"/>
          <w:sz w:val="36"/>
          <w:szCs w:val="36"/>
          <w:highlight w:val="none"/>
          <w:u w:val="none"/>
        </w:rPr>
        <w:t>合同</w:t>
      </w:r>
    </w:p>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562" w:firstLineChars="200"/>
        <w:jc w:val="left"/>
        <w:textAlignment w:val="auto"/>
        <w:rPr>
          <w:rFonts w:hint="eastAsia" w:ascii="仿宋" w:hAnsi="仿宋" w:eastAsia="仿宋" w:cs="仿宋"/>
          <w:b/>
          <w:bCs/>
          <w:color w:val="auto"/>
          <w:sz w:val="28"/>
          <w:highlight w:val="none"/>
          <w:lang w:eastAsia="zh-CN"/>
        </w:rPr>
      </w:pPr>
    </w:p>
    <w:p>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b/>
          <w:bCs/>
          <w:color w:val="auto"/>
          <w:sz w:val="28"/>
          <w:highlight w:val="none"/>
          <w:u w:val="single"/>
          <w:lang w:eastAsia="zh-CN"/>
        </w:rPr>
      </w:pPr>
      <w:r>
        <w:rPr>
          <w:rFonts w:hint="eastAsia" w:ascii="仿宋" w:hAnsi="仿宋" w:eastAsia="仿宋" w:cs="仿宋"/>
          <w:b/>
          <w:bCs/>
          <w:color w:val="auto"/>
          <w:sz w:val="28"/>
          <w:highlight w:val="none"/>
          <w:lang w:eastAsia="zh-CN"/>
        </w:rPr>
        <w:t>甲方（需方）：</w:t>
      </w:r>
      <w:r>
        <w:rPr>
          <w:rFonts w:hint="eastAsia" w:ascii="仿宋" w:hAnsi="仿宋" w:eastAsia="仿宋" w:cs="仿宋"/>
          <w:b/>
          <w:bCs/>
          <w:color w:val="auto"/>
          <w:sz w:val="28"/>
          <w:highlight w:val="none"/>
          <w:u w:val="single"/>
          <w:lang w:val="en-US" w:eastAsia="zh-CN"/>
        </w:rPr>
        <w:t>垫江县小厦建筑有限公司</w:t>
      </w:r>
    </w:p>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562" w:firstLineChars="200"/>
        <w:jc w:val="left"/>
        <w:textAlignment w:val="auto"/>
        <w:rPr>
          <w:rFonts w:hint="eastAsia" w:ascii="仿宋" w:hAnsi="仿宋" w:eastAsia="仿宋" w:cs="仿宋"/>
          <w:b/>
          <w:bCs/>
          <w:color w:val="auto"/>
          <w:sz w:val="28"/>
          <w:highlight w:val="none"/>
          <w:lang w:eastAsia="zh-CN"/>
        </w:rPr>
      </w:pPr>
    </w:p>
    <w:p>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color w:val="auto"/>
          <w:sz w:val="28"/>
          <w:highlight w:val="none"/>
          <w:lang w:eastAsia="zh-CN"/>
        </w:rPr>
      </w:pPr>
      <w:r>
        <w:rPr>
          <w:rFonts w:hint="eastAsia" w:ascii="仿宋" w:hAnsi="仿宋" w:eastAsia="仿宋" w:cs="仿宋"/>
          <w:b/>
          <w:bCs/>
          <w:color w:val="auto"/>
          <w:sz w:val="28"/>
          <w:highlight w:val="none"/>
          <w:lang w:eastAsia="zh-CN"/>
        </w:rPr>
        <w:t>乙方（供方）：</w:t>
      </w:r>
      <w:r>
        <w:rPr>
          <w:rFonts w:hint="eastAsia" w:ascii="仿宋" w:hAnsi="仿宋" w:eastAsia="仿宋" w:cs="仿宋"/>
          <w:b/>
          <w:bCs/>
          <w:color w:val="auto"/>
          <w:sz w:val="28"/>
          <w:highlight w:val="none"/>
          <w:u w:val="single"/>
          <w:lang w:val="en-US" w:eastAsia="zh-CN"/>
        </w:rPr>
        <w:t xml:space="preserve">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color w:val="auto"/>
          <w:sz w:val="28"/>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根据《中华人民共和国</w:t>
      </w:r>
      <w:r>
        <w:rPr>
          <w:rFonts w:hint="eastAsia" w:ascii="仿宋" w:hAnsi="仿宋" w:eastAsia="仿宋" w:cs="仿宋"/>
          <w:color w:val="auto"/>
          <w:sz w:val="28"/>
          <w:highlight w:val="none"/>
          <w:lang w:val="en-US" w:eastAsia="zh-CN"/>
        </w:rPr>
        <w:t>民法典</w:t>
      </w:r>
      <w:r>
        <w:rPr>
          <w:rFonts w:hint="eastAsia" w:ascii="仿宋" w:hAnsi="仿宋" w:eastAsia="仿宋" w:cs="仿宋"/>
          <w:color w:val="auto"/>
          <w:sz w:val="28"/>
          <w:highlight w:val="none"/>
          <w:lang w:eastAsia="zh-CN"/>
        </w:rPr>
        <w:t>》及有关法律、法规，甲、乙双方在平等自愿、互利互惠、诚实信用的基础上，就甲方向乙方购买</w:t>
      </w:r>
      <w:r>
        <w:rPr>
          <w:rFonts w:hint="eastAsia" w:ascii="仿宋" w:hAnsi="仿宋" w:eastAsia="仿宋" w:cs="仿宋"/>
          <w:color w:val="auto"/>
          <w:sz w:val="28"/>
          <w:highlight w:val="none"/>
          <w:u w:val="single"/>
          <w:lang w:val="en-US" w:eastAsia="zh-CN"/>
        </w:rPr>
        <w:t xml:space="preserve"> 清单内的 </w:t>
      </w:r>
      <w:r>
        <w:rPr>
          <w:rFonts w:hint="eastAsia" w:ascii="仿宋" w:hAnsi="仿宋" w:eastAsia="仿宋" w:cs="仿宋"/>
          <w:color w:val="auto"/>
          <w:sz w:val="28"/>
          <w:highlight w:val="none"/>
          <w:lang w:eastAsia="zh-CN"/>
        </w:rPr>
        <w:t>材料事宜，达成本合同条款，供双方遵守：</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第一条 材料采购清单及价款</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甲方向乙方购买产品按清单内价格执行。其产品名称，规格型号，单价等见</w:t>
      </w:r>
      <w:r>
        <w:rPr>
          <w:rFonts w:hint="eastAsia" w:ascii="仿宋" w:hAnsi="仿宋" w:eastAsia="仿宋" w:cs="仿宋"/>
          <w:color w:val="auto"/>
          <w:sz w:val="28"/>
          <w:highlight w:val="none"/>
          <w:lang w:val="en-US" w:eastAsia="zh-CN"/>
        </w:rPr>
        <w:t>下</w:t>
      </w:r>
      <w:r>
        <w:rPr>
          <w:rFonts w:hint="eastAsia" w:ascii="仿宋" w:hAnsi="仿宋" w:eastAsia="仿宋" w:cs="仿宋"/>
          <w:color w:val="auto"/>
          <w:sz w:val="28"/>
          <w:highlight w:val="none"/>
          <w:lang w:eastAsia="zh-CN"/>
        </w:rPr>
        <w:t>表。</w:t>
      </w:r>
    </w:p>
    <w:p>
      <w:pPr>
        <w:keepNext w:val="0"/>
        <w:keepLines w:val="0"/>
        <w:pageBreakBefore w:val="0"/>
        <w:widowControl w:val="0"/>
        <w:kinsoku/>
        <w:wordWrap/>
        <w:overflowPunct/>
        <w:topLinePunct w:val="0"/>
        <w:autoSpaceDE/>
        <w:autoSpaceDN/>
        <w:bidi w:val="0"/>
        <w:adjustRightInd/>
        <w:snapToGrid/>
        <w:spacing w:line="4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垫江县小厦建筑有限公司广告及标识标牌清单</w:t>
      </w:r>
    </w:p>
    <w:tbl>
      <w:tblPr>
        <w:tblStyle w:val="16"/>
        <w:tblpPr w:leftFromText="180" w:rightFromText="180" w:vertAnchor="text" w:horzAnchor="page" w:tblpX="689" w:tblpY="136"/>
        <w:tblOverlap w:val="never"/>
        <w:tblW w:w="10594" w:type="dxa"/>
        <w:tblInd w:w="0" w:type="dxa"/>
        <w:tblLayout w:type="fixed"/>
        <w:tblCellMar>
          <w:top w:w="0" w:type="dxa"/>
          <w:left w:w="108" w:type="dxa"/>
          <w:bottom w:w="0" w:type="dxa"/>
          <w:right w:w="108" w:type="dxa"/>
        </w:tblCellMar>
      </w:tblPr>
      <w:tblGrid>
        <w:gridCol w:w="708"/>
        <w:gridCol w:w="2430"/>
        <w:gridCol w:w="1842"/>
        <w:gridCol w:w="498"/>
        <w:gridCol w:w="660"/>
        <w:gridCol w:w="852"/>
        <w:gridCol w:w="3604"/>
      </w:tblGrid>
      <w:tr>
        <w:tblPrEx>
          <w:tblCellMar>
            <w:top w:w="0" w:type="dxa"/>
            <w:left w:w="108" w:type="dxa"/>
            <w:bottom w:w="0" w:type="dxa"/>
            <w:right w:w="108" w:type="dxa"/>
          </w:tblCellMar>
        </w:tblPrEx>
        <w:trPr>
          <w:trHeight w:val="896"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序号</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材料名称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暂定型号规格</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数量</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单位</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单价（元）</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备注</w:t>
            </w:r>
          </w:p>
        </w:tc>
      </w:tr>
      <w:tr>
        <w:tblPrEx>
          <w:tblCellMar>
            <w:top w:w="0" w:type="dxa"/>
            <w:left w:w="108" w:type="dxa"/>
            <w:bottom w:w="0" w:type="dxa"/>
            <w:right w:w="108" w:type="dxa"/>
          </w:tblCellMar>
        </w:tblPrEx>
        <w:trPr>
          <w:trHeight w:val="90"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围挡喷绘</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3m*1.5m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广告喷绘（含八牌二图，不含围挡制作安装）</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角铁架子+喷绘</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2m*0.6m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30角铁+喷绘安装</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施工告示牌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0.8m*1.59m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25方管+广告喷绘</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4</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建筑材料立牌画面</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0.6m*0.4m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tblPrEx>
          <w:tblCellMar>
            <w:top w:w="0" w:type="dxa"/>
            <w:left w:w="108" w:type="dxa"/>
            <w:bottom w:w="0" w:type="dxa"/>
            <w:right w:w="108" w:type="dxa"/>
          </w:tblCellMar>
        </w:tblPrEx>
        <w:trPr>
          <w:trHeight w:val="336"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5</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展板画面</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户外写真覆膜+光面板</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不锈钢展架</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tblPrEx>
          <w:tblCellMar>
            <w:top w:w="0" w:type="dxa"/>
            <w:left w:w="108" w:type="dxa"/>
            <w:bottom w:w="0" w:type="dxa"/>
            <w:right w:w="108" w:type="dxa"/>
          </w:tblCellMar>
        </w:tblPrEx>
        <w:trPr>
          <w:trHeight w:val="332"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7</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镀锌板L形边框</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1.6m*1.2m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tblPrEx>
          <w:tblCellMar>
            <w:top w:w="0" w:type="dxa"/>
            <w:left w:w="108" w:type="dxa"/>
            <w:bottom w:w="0" w:type="dxa"/>
            <w:right w:w="108" w:type="dxa"/>
          </w:tblCellMar>
        </w:tblPrEx>
        <w:trPr>
          <w:trHeight w:val="332"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PVC吊牌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1.8m*0.3m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tblPrEx>
          <w:tblCellMar>
            <w:top w:w="0" w:type="dxa"/>
            <w:left w:w="108" w:type="dxa"/>
            <w:bottom w:w="0" w:type="dxa"/>
            <w:right w:w="108" w:type="dxa"/>
          </w:tblCellMar>
        </w:tblPrEx>
        <w:trPr>
          <w:trHeight w:val="1105"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9</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60cm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10</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0.6m*0.8m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11</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70cm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胸牌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10cm*5cm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13</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14</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15</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16</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17</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白色PVC+uv打印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564"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炫彩PVC+uv打印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19</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透明亚克力+uv打印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20</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PVC+晶片+uv打印</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8.2mm厚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21</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64"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22</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23</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24</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铁皮吊牌 </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30cm*180cm*1mm </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包含安装。若后续甲方要求的实际尺寸与报价尺寸有差异，按面积等比例折算。</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26</w:t>
            </w:r>
          </w:p>
        </w:tc>
        <w:tc>
          <w:tcPr>
            <w:tcW w:w="2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15cm*15cm</w:t>
            </w:r>
          </w:p>
        </w:tc>
        <w:tc>
          <w:tcPr>
            <w:tcW w:w="4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8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bl>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注：1、</w:t>
      </w:r>
      <w:r>
        <w:rPr>
          <w:rFonts w:hint="eastAsia" w:ascii="仿宋" w:hAnsi="仿宋" w:eastAsia="仿宋" w:cs="仿宋"/>
          <w:color w:val="auto"/>
          <w:sz w:val="28"/>
          <w:highlight w:val="none"/>
          <w:lang w:val="en-US" w:eastAsia="zh-CN"/>
        </w:rPr>
        <w:t>乙方</w:t>
      </w:r>
      <w:r>
        <w:rPr>
          <w:rFonts w:hint="eastAsia" w:ascii="仿宋" w:hAnsi="仿宋" w:eastAsia="仿宋" w:cs="仿宋"/>
          <w:color w:val="auto"/>
          <w:sz w:val="28"/>
          <w:highlight w:val="none"/>
          <w:lang w:eastAsia="zh-CN"/>
        </w:rPr>
        <w:t>将满足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方要求的产品运至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方指定交货地点的</w:t>
      </w:r>
      <w:r>
        <w:rPr>
          <w:rFonts w:hint="eastAsia" w:ascii="仿宋" w:hAnsi="仿宋" w:eastAsia="仿宋" w:cs="仿宋"/>
          <w:color w:val="auto"/>
          <w:sz w:val="28"/>
          <w:highlight w:val="none"/>
          <w:lang w:val="en-US" w:eastAsia="zh-CN"/>
        </w:rPr>
        <w:t>全费用</w:t>
      </w:r>
      <w:r>
        <w:rPr>
          <w:rFonts w:hint="eastAsia" w:ascii="仿宋" w:hAnsi="仿宋" w:eastAsia="仿宋" w:cs="仿宋"/>
          <w:color w:val="auto"/>
          <w:sz w:val="28"/>
          <w:highlight w:val="none"/>
          <w:lang w:eastAsia="zh-CN"/>
        </w:rPr>
        <w:t>综合单价，</w:t>
      </w:r>
      <w:r>
        <w:rPr>
          <w:rFonts w:hint="eastAsia" w:ascii="仿宋" w:hAnsi="仿宋" w:eastAsia="仿宋" w:cs="仿宋"/>
          <w:color w:val="auto"/>
          <w:sz w:val="28"/>
          <w:highlight w:val="none"/>
          <w:lang w:val="en-US" w:eastAsia="zh-CN"/>
        </w:rPr>
        <w:t>该单价已</w:t>
      </w:r>
      <w:r>
        <w:rPr>
          <w:rFonts w:hint="eastAsia" w:ascii="仿宋" w:hAnsi="仿宋" w:eastAsia="仿宋" w:cs="仿宋"/>
          <w:color w:val="auto"/>
          <w:sz w:val="28"/>
          <w:highlight w:val="none"/>
          <w:lang w:eastAsia="zh-CN"/>
        </w:rPr>
        <w:t>包含了产品的出厂价、仓储费、加工费、运杂费（含包装、装运和运输至施工现场指定地点）、上下车费、</w:t>
      </w:r>
      <w:r>
        <w:rPr>
          <w:rFonts w:hint="eastAsia" w:ascii="仿宋" w:hAnsi="仿宋" w:eastAsia="仿宋" w:cs="仿宋"/>
          <w:color w:val="auto"/>
          <w:sz w:val="28"/>
          <w:highlight w:val="none"/>
          <w:lang w:val="en-US" w:eastAsia="zh-CN"/>
        </w:rPr>
        <w:t>安装费、</w:t>
      </w:r>
      <w:r>
        <w:rPr>
          <w:rFonts w:hint="eastAsia" w:ascii="仿宋" w:hAnsi="仿宋" w:eastAsia="仿宋" w:cs="仿宋"/>
          <w:color w:val="auto"/>
          <w:sz w:val="28"/>
          <w:highlight w:val="none"/>
          <w:lang w:eastAsia="zh-CN"/>
        </w:rPr>
        <w:t>风险费（如安全、损伤等）、保险（交货验收前）、各种检测及检验、成品和半成品保护、税费（不含增值税）、所有检测、验收、办理供货产品所需要的各种许可证、提供供货产品所需的各种有效检测报告费用（自检及第三方检测）、各种规费、经验收合格且交付给</w:t>
      </w:r>
      <w:r>
        <w:rPr>
          <w:rFonts w:hint="eastAsia" w:ascii="仿宋" w:hAnsi="仿宋" w:eastAsia="仿宋" w:cs="仿宋"/>
          <w:color w:val="auto"/>
          <w:sz w:val="28"/>
          <w:highlight w:val="none"/>
          <w:lang w:val="en-US" w:eastAsia="zh-CN"/>
        </w:rPr>
        <w:t>甲方</w:t>
      </w:r>
      <w:r>
        <w:rPr>
          <w:rFonts w:hint="eastAsia" w:ascii="仿宋" w:hAnsi="仿宋" w:eastAsia="仿宋" w:cs="仿宋"/>
          <w:color w:val="auto"/>
          <w:sz w:val="28"/>
          <w:highlight w:val="none"/>
          <w:lang w:eastAsia="zh-CN"/>
        </w:rPr>
        <w:t>正常使用的所有费用，以及合同明示或暗示的所有责任、义务和一般风险</w:t>
      </w:r>
      <w:r>
        <w:rPr>
          <w:rFonts w:hint="eastAsia" w:ascii="仿宋" w:hAnsi="仿宋" w:eastAsia="仿宋" w:cs="仿宋"/>
          <w:color w:val="auto"/>
          <w:sz w:val="28"/>
          <w:highlight w:val="none"/>
          <w:lang w:val="en-US" w:eastAsia="zh-CN"/>
        </w:rPr>
        <w:t>费用</w:t>
      </w:r>
      <w:r>
        <w:rPr>
          <w:rFonts w:hint="eastAsia" w:ascii="仿宋" w:hAnsi="仿宋" w:eastAsia="仿宋" w:cs="仿宋"/>
          <w:color w:val="auto"/>
          <w:sz w:val="28"/>
          <w:highlight w:val="none"/>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eastAsia="zh-CN"/>
        </w:rPr>
        <w:t>2、合同正常履约过程中，乙方不得以任何理由要求提高合同清单材料价格。</w:t>
      </w:r>
      <w:r>
        <w:rPr>
          <w:rFonts w:hint="eastAsia" w:ascii="仿宋" w:hAnsi="仿宋" w:eastAsia="仿宋" w:cs="仿宋"/>
          <w:color w:val="auto"/>
          <w:sz w:val="28"/>
          <w:highlight w:val="none"/>
          <w:lang w:val="en-US" w:eastAsia="zh-CN"/>
        </w:rPr>
        <w:t>否则，按违约处理。</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采购数量以甲方通知为准，供需双方按工地需要自动调整，不再另立条款补充。</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第二条 质量及验收</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1、必须达到现行国家技术规格及清单质量要求。</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2、货物运达甲方指定地点并安装后，由甲方相关人员按照现行国家及行业标准进行验收；如不合格，甲方将要求退货，乙方不得有异议，乙方自行承担货物往返所产生的运输及装卸等</w:t>
      </w:r>
      <w:r>
        <w:rPr>
          <w:rFonts w:hint="eastAsia" w:ascii="仿宋" w:hAnsi="仿宋" w:eastAsia="仿宋" w:cs="仿宋"/>
          <w:color w:val="auto"/>
          <w:sz w:val="28"/>
          <w:highlight w:val="none"/>
          <w:lang w:eastAsia="zh-CN"/>
        </w:rPr>
        <w:t>一切费用</w:t>
      </w:r>
      <w:r>
        <w:rPr>
          <w:rFonts w:hint="eastAsia" w:ascii="仿宋" w:hAnsi="仿宋" w:eastAsia="仿宋" w:cs="仿宋"/>
          <w:color w:val="auto"/>
          <w:sz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FF0000"/>
          <w:sz w:val="28"/>
          <w:highlight w:val="none"/>
          <w:lang w:val="en-US" w:eastAsia="zh-CN"/>
        </w:rPr>
      </w:pPr>
      <w:r>
        <w:rPr>
          <w:rFonts w:hint="eastAsia" w:ascii="仿宋" w:hAnsi="仿宋" w:eastAsia="仿宋" w:cs="仿宋"/>
          <w:color w:val="FF0000"/>
          <w:sz w:val="28"/>
          <w:highlight w:val="none"/>
          <w:lang w:val="en-US" w:eastAsia="zh-CN"/>
        </w:rPr>
        <w:t>3、乙方供货完成后必须无条件提供成果方案的电子版原件给甲方。</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第三条 供货期及交货时间、地点</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1、供货期：原则上供货期为半年，在乙方未违约的情况下，供货合同可延长至下一次垫江县小厦建筑有限公司广告及标识标牌供应商征集生效之日。</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2、交货时间及地点：因本次采购所涉及的项目实施时间的不确定性，具体供货/交货时间以甲方通知为准。</w:t>
      </w:r>
      <w:r>
        <w:rPr>
          <w:rFonts w:hint="eastAsia" w:ascii="仿宋" w:hAnsi="仿宋" w:eastAsia="仿宋" w:cs="仿宋"/>
          <w:color w:val="auto"/>
          <w:sz w:val="28"/>
          <w:highlight w:val="none"/>
          <w:lang w:eastAsia="zh-CN"/>
        </w:rPr>
        <w:t>乙方需在甲方下单日起</w:t>
      </w:r>
      <w:r>
        <w:rPr>
          <w:rFonts w:hint="eastAsia" w:ascii="仿宋" w:hAnsi="仿宋" w:eastAsia="仿宋" w:cs="仿宋"/>
          <w:color w:val="auto"/>
          <w:sz w:val="28"/>
          <w:highlight w:val="none"/>
          <w:lang w:val="en-US" w:eastAsia="zh-CN"/>
        </w:rPr>
        <w:t>2</w:t>
      </w:r>
      <w:r>
        <w:rPr>
          <w:rFonts w:hint="eastAsia" w:ascii="仿宋" w:hAnsi="仿宋" w:eastAsia="仿宋" w:cs="仿宋"/>
          <w:color w:val="auto"/>
          <w:sz w:val="28"/>
          <w:highlight w:val="none"/>
          <w:lang w:eastAsia="zh-CN"/>
        </w:rPr>
        <w:t>个工作日内将合同清单中所</w:t>
      </w:r>
      <w:r>
        <w:rPr>
          <w:rFonts w:hint="eastAsia" w:ascii="仿宋" w:hAnsi="仿宋" w:eastAsia="仿宋" w:cs="仿宋"/>
          <w:color w:val="auto"/>
          <w:sz w:val="28"/>
          <w:highlight w:val="none"/>
          <w:lang w:val="en-US" w:eastAsia="zh-CN"/>
        </w:rPr>
        <w:t>需</w:t>
      </w:r>
      <w:r>
        <w:rPr>
          <w:rFonts w:hint="eastAsia" w:ascii="仿宋" w:hAnsi="仿宋" w:eastAsia="仿宋" w:cs="仿宋"/>
          <w:color w:val="auto"/>
          <w:sz w:val="28"/>
          <w:highlight w:val="none"/>
          <w:lang w:eastAsia="zh-CN"/>
        </w:rPr>
        <w:t>产品发送至甲方指定地点,乙方交货期需满足甲方整体工程进度要求，甲方要求顺延交货期除外（以甲方书面通知为准）。</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第四条 履约担保</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1、履约担保的金额</w:t>
      </w:r>
      <w:r>
        <w:rPr>
          <w:rFonts w:hint="eastAsia" w:ascii="仿宋" w:hAnsi="仿宋" w:eastAsia="仿宋" w:cs="仿宋"/>
          <w:color w:val="auto"/>
          <w:sz w:val="28"/>
          <w:highlight w:val="none"/>
          <w:u w:val="single"/>
          <w:lang w:val="en-US" w:eastAsia="zh-CN"/>
        </w:rPr>
        <w:t>：¥2000.00元（大写：贰仟元整）</w:t>
      </w:r>
      <w:r>
        <w:rPr>
          <w:rFonts w:hint="eastAsia" w:ascii="仿宋" w:hAnsi="仿宋" w:eastAsia="仿宋" w:cs="仿宋"/>
          <w:color w:val="auto"/>
          <w:sz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u w:val="single"/>
          <w:lang w:val="en-US" w:eastAsia="zh-CN"/>
        </w:rPr>
      </w:pPr>
      <w:r>
        <w:rPr>
          <w:rFonts w:hint="eastAsia" w:ascii="仿宋" w:hAnsi="仿宋" w:eastAsia="仿宋" w:cs="仿宋"/>
          <w:color w:val="auto"/>
          <w:sz w:val="28"/>
          <w:highlight w:val="none"/>
          <w:lang w:val="en-US" w:eastAsia="zh-CN"/>
        </w:rPr>
        <w:t>2、履约担保的提交时间：</w:t>
      </w:r>
      <w:r>
        <w:rPr>
          <w:rFonts w:hint="eastAsia" w:ascii="仿宋" w:hAnsi="仿宋" w:eastAsia="仿宋" w:cs="仿宋"/>
          <w:color w:val="auto"/>
          <w:sz w:val="28"/>
          <w:highlight w:val="none"/>
          <w:u w:val="single"/>
          <w:lang w:val="en-US" w:eastAsia="zh-CN"/>
        </w:rPr>
        <w:t>在成交公示结束后，乙方按担保金额向甲方提交履约担保。</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3、履约担保的期限：</w:t>
      </w:r>
      <w:r>
        <w:rPr>
          <w:rFonts w:hint="eastAsia" w:ascii="仿宋" w:hAnsi="仿宋" w:eastAsia="仿宋" w:cs="仿宋"/>
          <w:color w:val="auto"/>
          <w:sz w:val="28"/>
          <w:highlight w:val="none"/>
          <w:u w:val="single"/>
          <w:lang w:val="en-US" w:eastAsia="zh-CN"/>
        </w:rPr>
        <w:t>合同终止或解除为止</w:t>
      </w:r>
      <w:r>
        <w:rPr>
          <w:rFonts w:hint="eastAsia" w:ascii="仿宋" w:hAnsi="仿宋" w:eastAsia="仿宋" w:cs="仿宋"/>
          <w:color w:val="auto"/>
          <w:sz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8"/>
          <w:highlight w:val="none"/>
          <w:lang w:val="en-US" w:eastAsia="zh-CN"/>
        </w:rPr>
        <w:t>4、履约担保的退还时间：</w:t>
      </w:r>
      <w:r>
        <w:rPr>
          <w:rFonts w:hint="eastAsia" w:ascii="仿宋" w:hAnsi="仿宋" w:eastAsia="仿宋" w:cs="仿宋"/>
          <w:color w:val="auto"/>
          <w:sz w:val="28"/>
          <w:highlight w:val="none"/>
          <w:u w:val="single"/>
          <w:lang w:val="en-US" w:eastAsia="zh-CN"/>
        </w:rPr>
        <w:t>达到退还条件后一次性无息退还</w:t>
      </w:r>
      <w:r>
        <w:rPr>
          <w:rFonts w:hint="eastAsia" w:ascii="仿宋" w:hAnsi="仿宋" w:eastAsia="仿宋" w:cs="仿宋"/>
          <w:color w:val="auto"/>
          <w:sz w:val="28"/>
          <w:highlight w:val="none"/>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第五条  结算原则</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1、采取</w:t>
      </w:r>
      <w:r>
        <w:rPr>
          <w:rFonts w:hint="eastAsia" w:ascii="仿宋" w:hAnsi="仿宋" w:eastAsia="仿宋" w:cs="仿宋"/>
          <w:color w:val="auto"/>
          <w:sz w:val="28"/>
          <w:highlight w:val="none"/>
          <w:lang w:eastAsia="zh-CN"/>
        </w:rPr>
        <w:t>每季度结算，全额付款</w:t>
      </w:r>
      <w:r>
        <w:rPr>
          <w:rFonts w:hint="eastAsia" w:ascii="仿宋" w:hAnsi="仿宋" w:eastAsia="仿宋" w:cs="仿宋"/>
          <w:color w:val="auto"/>
          <w:sz w:val="28"/>
          <w:highlight w:val="none"/>
          <w:lang w:val="en-US" w:eastAsia="zh-CN"/>
        </w:rPr>
        <w:t>的方式</w:t>
      </w:r>
      <w:r>
        <w:rPr>
          <w:rFonts w:hint="eastAsia" w:ascii="仿宋" w:hAnsi="仿宋" w:eastAsia="仿宋" w:cs="仿宋"/>
          <w:color w:val="auto"/>
          <w:sz w:val="28"/>
          <w:highlight w:val="none"/>
          <w:lang w:eastAsia="zh-CN"/>
        </w:rPr>
        <w:t>。每季度底结算当季度材料价款。</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2、某项材料季度结算总价款=该项材料的成交单价×当季度实际采购数量+增值税税金</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（1）增值税税金计算方法：</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①提供增值税专用发票，税金=成交单价×实际的合格工程量×实际税率；</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②提供增值税普通发票，税金=0</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（2）若规格型号发生变化，按成交报价中相同或类似项相应价格折算。</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第六条  支付方式</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1、每季度底结算当季度材料价款，次月支付。</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2、材料款支付前，乙方必须提供合法有效的增值税发票且票额与计划支付金额相匹配，及甲方所需的付款依据。</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lang w:eastAsia="zh-CN"/>
        </w:rPr>
      </w:pPr>
      <w:r>
        <w:rPr>
          <w:rFonts w:hint="eastAsia" w:ascii="仿宋" w:hAnsi="仿宋" w:eastAsia="仿宋" w:cs="仿宋"/>
          <w:b/>
          <w:bCs/>
          <w:color w:val="auto"/>
          <w:sz w:val="30"/>
          <w:szCs w:val="30"/>
          <w:highlight w:val="none"/>
          <w:lang w:val="en-US" w:eastAsia="zh-CN"/>
        </w:rPr>
        <w:t>第七条 违约责任</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1、乙方须具有创新设计能力，如乙方累计三次不能按甲方要求提交满意的设计方案文本，视为违约，甲方将有权解除合同。</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甲方第一次发现乙方所供货物未按约定供应或未达到约定质量要求，按当批所供货物货款的3倍处以违约金（但不超过履约保证金）并在货款中扣除，第二次发现该违约情况，甲方有权单方直接解除本合同，并取消供应商供货资格，如造成重大损失则要追求乙方的法律责任，履约保证金不予退还。</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3、合同一方违反廉洁行为的，视为违约，执行双方签订的《廉洁合作承诺书》，且守约方可据此解除合同，如因此触犯刑律的，守约方方可向司法机关举报、控告。</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4、甲、乙任何一方如确因不可抗力的原因，不能履行本合同时，应及时向对方通知不能履行或须延期履行、部分履行合同的理由。在取得对方同意后，本合同可以不履行或延期履行或部分履行，并免于承担违约责任。</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5、乙方应向甲方支付的违约金，甲方有权在应付而未付款中扣除，违约金不足以弥补甲方损失，甲方有权继续向乙方追偿。</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6、因违约解除供货资格的供应商不再参与采购人相关采购活动。</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第八条  发生争议或纠纷的处理</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本合同在执行中如发生争议或纠纷，甲乙双方应协商解决，协商不成时，向</w:t>
      </w:r>
      <w:r>
        <w:rPr>
          <w:rFonts w:hint="eastAsia" w:ascii="仿宋" w:hAnsi="仿宋" w:eastAsia="仿宋" w:cs="仿宋"/>
          <w:color w:val="auto"/>
          <w:sz w:val="28"/>
          <w:highlight w:val="none"/>
          <w:lang w:val="en-US" w:eastAsia="zh-CN"/>
        </w:rPr>
        <w:t>甲方所在</w:t>
      </w:r>
      <w:r>
        <w:rPr>
          <w:rFonts w:hint="eastAsia" w:ascii="仿宋" w:hAnsi="仿宋" w:eastAsia="仿宋" w:cs="仿宋"/>
          <w:color w:val="auto"/>
          <w:sz w:val="28"/>
          <w:highlight w:val="none"/>
          <w:lang w:eastAsia="zh-CN"/>
        </w:rPr>
        <w:t>地人民法院起诉。</w:t>
      </w:r>
    </w:p>
    <w:p>
      <w:pPr>
        <w:pStyle w:val="2"/>
        <w:keepNext w:val="0"/>
        <w:keepLines w:val="0"/>
        <w:pageBreakBefore w:val="0"/>
        <w:widowControl w:val="0"/>
        <w:kinsoku/>
        <w:wordWrap/>
        <w:overflowPunct/>
        <w:topLinePunct w:val="0"/>
        <w:autoSpaceDE/>
        <w:autoSpaceDN/>
        <w:bidi w:val="0"/>
        <w:adjustRightInd w:val="0"/>
        <w:snapToGrid w:val="0"/>
        <w:spacing w:before="0" w:line="400" w:lineRule="exact"/>
        <w:ind w:firstLine="602" w:firstLineChars="200"/>
        <w:textAlignment w:val="auto"/>
        <w:rPr>
          <w:rFonts w:hint="eastAsia" w:ascii="仿宋" w:hAnsi="仿宋" w:eastAsia="仿宋" w:cs="仿宋"/>
          <w:b/>
          <w:bCs/>
          <w:color w:val="auto"/>
          <w:kern w:val="2"/>
          <w:sz w:val="30"/>
          <w:szCs w:val="30"/>
          <w:highlight w:val="none"/>
          <w:lang w:val="en-US" w:eastAsia="zh-CN" w:bidi="ar-SA"/>
        </w:rPr>
      </w:pPr>
      <w:r>
        <w:rPr>
          <w:rFonts w:hint="eastAsia" w:ascii="仿宋" w:hAnsi="仿宋" w:eastAsia="仿宋" w:cs="仿宋"/>
          <w:b/>
          <w:bCs/>
          <w:color w:val="auto"/>
          <w:kern w:val="2"/>
          <w:sz w:val="30"/>
          <w:szCs w:val="30"/>
          <w:highlight w:val="none"/>
          <w:lang w:val="en-US" w:eastAsia="zh-CN" w:bidi="ar-SA"/>
        </w:rPr>
        <w:t>第九条  组成分包合同的文件</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1、本合同；</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2、成交通知书；</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3、《垫江县小厦建筑有限公司广告及标识标牌供应商征集征集公告》；</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b w:val="0"/>
          <w:bCs w:val="0"/>
          <w:color w:val="auto"/>
          <w:kern w:val="2"/>
          <w:sz w:val="28"/>
          <w:szCs w:val="24"/>
          <w:highlight w:val="none"/>
          <w:lang w:val="en-US" w:eastAsia="zh-CN" w:bidi="ar-SA"/>
        </w:rPr>
      </w:pPr>
      <w:r>
        <w:rPr>
          <w:rFonts w:hint="eastAsia" w:ascii="仿宋" w:hAnsi="仿宋" w:eastAsia="仿宋" w:cs="仿宋"/>
          <w:color w:val="auto"/>
          <w:sz w:val="28"/>
          <w:highlight w:val="none"/>
          <w:lang w:val="en-US" w:eastAsia="zh-CN"/>
        </w:rPr>
        <w:t>4、乙方对《垫江县小厦建筑有限公司广告及标识标牌供应商征集征集公告》的响应文件</w:t>
      </w:r>
      <w:r>
        <w:rPr>
          <w:rFonts w:hint="eastAsia" w:ascii="仿宋" w:hAnsi="仿宋" w:eastAsia="仿宋" w:cs="仿宋"/>
          <w:b w:val="0"/>
          <w:bCs w:val="0"/>
          <w:color w:val="auto"/>
          <w:kern w:val="2"/>
          <w:sz w:val="28"/>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kern w:val="2"/>
          <w:sz w:val="30"/>
          <w:szCs w:val="30"/>
          <w:highlight w:val="none"/>
          <w:lang w:val="en-US" w:eastAsia="zh-CN" w:bidi="ar-SA"/>
        </w:rPr>
      </w:pPr>
      <w:r>
        <w:rPr>
          <w:rFonts w:hint="eastAsia" w:ascii="仿宋" w:hAnsi="仿宋" w:eastAsia="仿宋" w:cs="仿宋"/>
          <w:b/>
          <w:bCs/>
          <w:color w:val="auto"/>
          <w:kern w:val="2"/>
          <w:sz w:val="30"/>
          <w:szCs w:val="30"/>
          <w:highlight w:val="none"/>
          <w:lang w:val="en-US" w:eastAsia="zh-CN" w:bidi="ar-SA"/>
        </w:rPr>
        <w:t>第十条  合同生效与终止</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w:t>
      </w:r>
      <w:r>
        <w:rPr>
          <w:rFonts w:hint="eastAsia" w:ascii="仿宋" w:hAnsi="仿宋" w:eastAsia="仿宋" w:cs="仿宋"/>
          <w:color w:val="auto"/>
          <w:sz w:val="28"/>
          <w:highlight w:val="none"/>
          <w:lang w:eastAsia="zh-CN"/>
        </w:rPr>
        <w:t>本合同自甲乙双方签字盖章之日起生效，正常运作至合同条款履行完毕自行失效。</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w:t>
      </w:r>
      <w:r>
        <w:rPr>
          <w:rFonts w:hint="eastAsia" w:ascii="仿宋" w:hAnsi="仿宋" w:eastAsia="仿宋" w:cs="仿宋"/>
          <w:color w:val="auto"/>
          <w:sz w:val="28"/>
          <w:highlight w:val="none"/>
          <w:lang w:eastAsia="zh-CN"/>
        </w:rPr>
        <w:t>本合同在执行期间，如有未尽事宜，由甲乙双方协商，另订附件附于本合同之内，所有附件在法律上均与本合同有同等效力。</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本合同一式</w:t>
      </w:r>
      <w:r>
        <w:rPr>
          <w:rFonts w:hint="eastAsia" w:ascii="仿宋" w:hAnsi="仿宋" w:eastAsia="仿宋" w:cs="仿宋"/>
          <w:color w:val="auto"/>
          <w:sz w:val="28"/>
          <w:highlight w:val="none"/>
          <w:lang w:val="en-US" w:eastAsia="zh-CN"/>
        </w:rPr>
        <w:t>陆</w:t>
      </w:r>
      <w:r>
        <w:rPr>
          <w:rFonts w:hint="eastAsia" w:ascii="仿宋" w:hAnsi="仿宋" w:eastAsia="仿宋" w:cs="仿宋"/>
          <w:color w:val="auto"/>
          <w:sz w:val="28"/>
          <w:highlight w:val="none"/>
          <w:lang w:eastAsia="zh-CN"/>
        </w:rPr>
        <w:t>份，甲方持</w:t>
      </w:r>
      <w:r>
        <w:rPr>
          <w:rFonts w:hint="eastAsia" w:ascii="仿宋" w:hAnsi="仿宋" w:eastAsia="仿宋" w:cs="仿宋"/>
          <w:color w:val="auto"/>
          <w:sz w:val="28"/>
          <w:highlight w:val="none"/>
          <w:lang w:val="en-US" w:eastAsia="zh-CN"/>
        </w:rPr>
        <w:t>肆</w:t>
      </w:r>
      <w:r>
        <w:rPr>
          <w:rFonts w:hint="eastAsia" w:ascii="仿宋" w:hAnsi="仿宋" w:eastAsia="仿宋" w:cs="仿宋"/>
          <w:color w:val="auto"/>
          <w:sz w:val="28"/>
          <w:highlight w:val="none"/>
          <w:lang w:eastAsia="zh-CN"/>
        </w:rPr>
        <w:t>份，乙方持</w:t>
      </w:r>
      <w:r>
        <w:rPr>
          <w:rFonts w:hint="eastAsia" w:ascii="仿宋" w:hAnsi="仿宋" w:eastAsia="仿宋" w:cs="仿宋"/>
          <w:color w:val="auto"/>
          <w:sz w:val="28"/>
          <w:highlight w:val="none"/>
          <w:lang w:val="en-US" w:eastAsia="zh-CN"/>
        </w:rPr>
        <w:t>贰</w:t>
      </w:r>
      <w:r>
        <w:rPr>
          <w:rFonts w:hint="eastAsia" w:ascii="仿宋" w:hAnsi="仿宋" w:eastAsia="仿宋" w:cs="仿宋"/>
          <w:color w:val="auto"/>
          <w:sz w:val="28"/>
          <w:highlight w:val="none"/>
          <w:lang w:eastAsia="zh-CN"/>
        </w:rPr>
        <w:t>份，具有同等的法律效用。</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r>
        <w:rPr>
          <w:rFonts w:hint="eastAsia" w:ascii="仿宋" w:hAnsi="仿宋" w:eastAsia="仿宋" w:cs="仿宋"/>
          <w:b/>
          <w:bCs/>
          <w:color w:val="auto"/>
          <w:sz w:val="28"/>
          <w:highlight w:val="none"/>
          <w:lang w:val="zh-TW" w:eastAsia="zh-TW"/>
        </w:rPr>
        <w:t>甲方单位名称（章）</w:t>
      </w:r>
      <w:r>
        <w:rPr>
          <w:rFonts w:hint="eastAsia" w:ascii="仿宋" w:hAnsi="仿宋" w:eastAsia="仿宋" w:cs="仿宋"/>
          <w:b/>
          <w:bCs/>
          <w:color w:val="auto"/>
          <w:sz w:val="28"/>
          <w:highlight w:val="none"/>
          <w:lang w:val="zh-TW" w:eastAsia="zh-CN"/>
        </w:rPr>
        <w:t>：</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乙方单位名称（章）：</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zh-TW" w:eastAsia="zh-TW"/>
        </w:rPr>
      </w:pPr>
    </w:p>
    <w:p>
      <w:pPr>
        <w:keepNext w:val="0"/>
        <w:keepLines w:val="0"/>
        <w:pageBreakBefore w:val="0"/>
        <w:kinsoku/>
        <w:wordWrap/>
        <w:overflowPunct/>
        <w:topLinePunct w:val="0"/>
        <w:autoSpaceDE/>
        <w:autoSpaceDN/>
        <w:bidi w:val="0"/>
        <w:spacing w:line="400" w:lineRule="exact"/>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szCs w:val="28"/>
          <w:highlight w:val="none"/>
        </w:rPr>
        <w:t>法定代表人(或授权委托人) :       法定代表人 (或授权委托人)</w:t>
      </w:r>
      <w:r>
        <w:rPr>
          <w:rFonts w:hint="eastAsia" w:ascii="仿宋" w:hAnsi="仿宋" w:eastAsia="仿宋" w:cs="仿宋"/>
          <w:b/>
          <w:bCs/>
          <w:color w:val="auto"/>
          <w:sz w:val="28"/>
          <w:szCs w:val="28"/>
          <w:highlight w:val="none"/>
          <w:lang w:eastAsia="zh-CN"/>
        </w:rPr>
        <w:t>：</w:t>
      </w:r>
      <w:r>
        <w:rPr>
          <w:rFonts w:hint="eastAsia" w:ascii="仿宋" w:hAnsi="仿宋" w:eastAsia="仿宋" w:cs="仿宋"/>
          <w:b/>
          <w:bCs/>
          <w:color w:val="auto"/>
          <w:sz w:val="28"/>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en-US" w:eastAsia="zh-CN"/>
        </w:rPr>
        <w:t>经  办  人：                     经  办  人：</w:t>
      </w: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zh-TW" w:eastAsia="zh-TW"/>
        </w:rPr>
        <w:t>开户银行：</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开户银行：</w:t>
      </w: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eastAsia="zh-TW"/>
        </w:rPr>
      </w:pPr>
      <w:r>
        <w:rPr>
          <w:rFonts w:hint="eastAsia" w:ascii="仿宋" w:hAnsi="仿宋" w:eastAsia="仿宋" w:cs="仿宋"/>
          <w:b/>
          <w:bCs/>
          <w:color w:val="auto"/>
          <w:sz w:val="28"/>
          <w:highlight w:val="none"/>
          <w:lang w:val="zh-TW" w:eastAsia="zh-TW"/>
        </w:rPr>
        <w:t xml:space="preserve">账号：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 xml:space="preserve">账号：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color w:val="auto"/>
          <w:highlight w:val="none"/>
          <w:lang w:eastAsia="zh-CN"/>
        </w:rPr>
      </w:pPr>
      <w:r>
        <w:rPr>
          <w:rFonts w:hint="eastAsia" w:ascii="仿宋" w:hAnsi="仿宋" w:eastAsia="仿宋" w:cs="仿宋"/>
          <w:b/>
          <w:bCs/>
          <w:color w:val="auto"/>
          <w:sz w:val="28"/>
          <w:highlight w:val="none"/>
          <w:lang w:val="en-US" w:eastAsia="zh-CN"/>
        </w:rPr>
        <w:t>签订时间：      年     月      日</w:t>
      </w:r>
    </w:p>
    <w:p>
      <w:pPr>
        <w:keepNext w:val="0"/>
        <w:keepLines w:val="0"/>
        <w:pageBreakBefore/>
        <w:widowControl w:val="0"/>
        <w:kinsoku/>
        <w:wordWrap/>
        <w:overflowPunct/>
        <w:topLinePunct w:val="0"/>
        <w:autoSpaceDE/>
        <w:autoSpaceDN/>
        <w:bidi w:val="0"/>
        <w:adjustRightInd/>
        <w:snapToGrid/>
        <w:spacing w:line="560" w:lineRule="exact"/>
        <w:jc w:val="both"/>
        <w:textAlignment w:val="auto"/>
        <w:rPr>
          <w:rFonts w:hint="default"/>
          <w:color w:val="auto"/>
          <w:highlight w:val="none"/>
          <w:lang w:eastAsia="zh-CN"/>
        </w:rPr>
      </w:pPr>
      <w:r>
        <w:rPr>
          <w:rFonts w:hint="default" w:ascii="TimesNewRoman" w:hAnsi="TimesNewRoman" w:eastAsia="方正黑体_GBK" w:cs="TimesNewRoman"/>
          <w:b w:val="0"/>
          <w:bCs w:val="0"/>
          <w:color w:val="auto"/>
          <w:sz w:val="32"/>
          <w:szCs w:val="32"/>
          <w:highlight w:val="none"/>
          <w:lang w:eastAsia="zh-CN"/>
        </w:rPr>
        <w:t>附件</w:t>
      </w:r>
    </w:p>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NewRoman" w:hAnsi="TimesNewRoman" w:eastAsia="方正小标宋_GBK" w:cs="TimesNewRoman"/>
          <w:bCs/>
          <w:color w:val="auto"/>
          <w:sz w:val="44"/>
          <w:szCs w:val="44"/>
          <w:highlight w:val="none"/>
        </w:rPr>
      </w:pPr>
      <w:r>
        <w:rPr>
          <w:rFonts w:hint="default" w:ascii="TimesNewRoman" w:hAnsi="TimesNewRoman" w:eastAsia="方正小标宋_GBK" w:cs="TimesNewRoman"/>
          <w:b w:val="0"/>
          <w:bCs w:val="0"/>
          <w:color w:val="auto"/>
          <w:sz w:val="44"/>
          <w:szCs w:val="44"/>
          <w:highlight w:val="none"/>
        </w:rPr>
        <w:t>廉洁合作承诺书</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lang w:val="en-US" w:eastAsia="zh-CN"/>
        </w:rPr>
      </w:pPr>
      <w:r>
        <w:rPr>
          <w:rFonts w:hint="default" w:ascii="TimesNewRoman" w:hAnsi="TimesNewRoman" w:eastAsia="仿宋" w:cs="TimesNewRoman"/>
          <w:color w:val="auto"/>
          <w:sz w:val="32"/>
          <w:szCs w:val="32"/>
          <w:highlight w:val="none"/>
        </w:rPr>
        <w:t>甲方：</w:t>
      </w:r>
      <w:r>
        <w:rPr>
          <w:rFonts w:hint="eastAsia" w:ascii="TimesNewRoman" w:hAnsi="TimesNewRoman" w:eastAsia="仿宋" w:cs="TimesNewRoman"/>
          <w:color w:val="auto"/>
          <w:sz w:val="32"/>
          <w:szCs w:val="32"/>
          <w:highlight w:val="none"/>
          <w:lang w:val="en-US" w:eastAsia="zh-CN"/>
        </w:rPr>
        <w:t>垫江县小厦建筑有限公司</w:t>
      </w:r>
    </w:p>
    <w:p>
      <w:pPr>
        <w:keepNext w:val="0"/>
        <w:keepLines w:val="0"/>
        <w:pageBreakBefore w:val="0"/>
        <w:widowControl w:val="0"/>
        <w:kinsoku/>
        <w:wordWrap/>
        <w:overflowPunct/>
        <w:topLinePunct w:val="0"/>
        <w:autoSpaceDE/>
        <w:autoSpaceDN/>
        <w:bidi w:val="0"/>
        <w:spacing w:line="560" w:lineRule="exact"/>
        <w:textAlignment w:val="auto"/>
        <w:rPr>
          <w:rFonts w:hint="eastAsia" w:ascii="TimesNewRoman" w:hAnsi="TimesNewRoman" w:eastAsia="仿宋" w:cs="TimesNewRoman"/>
          <w:color w:val="auto"/>
          <w:sz w:val="32"/>
          <w:szCs w:val="32"/>
          <w:highlight w:val="none"/>
          <w:lang w:eastAsia="zh-CN"/>
        </w:rPr>
      </w:pPr>
      <w:r>
        <w:rPr>
          <w:rFonts w:hint="default" w:ascii="TimesNewRoman" w:hAnsi="TimesNewRoman" w:eastAsia="仿宋" w:cs="TimesNewRoman"/>
          <w:color w:val="auto"/>
          <w:sz w:val="32"/>
          <w:szCs w:val="32"/>
          <w:highlight w:val="none"/>
        </w:rPr>
        <w:t>乙方</w:t>
      </w:r>
      <w:r>
        <w:rPr>
          <w:rFonts w:hint="eastAsia" w:ascii="TimesNewRoman" w:hAnsi="TimesNewRoman" w:eastAsia="仿宋" w:cs="TimesNewRoman"/>
          <w:color w:val="auto"/>
          <w:sz w:val="32"/>
          <w:szCs w:val="32"/>
          <w:highlight w:val="none"/>
          <w:lang w:eastAsia="zh-CN"/>
        </w:rPr>
        <w:t>：</w:t>
      </w:r>
    </w:p>
    <w:p>
      <w:pPr>
        <w:keepNext w:val="0"/>
        <w:keepLines w:val="0"/>
        <w:pageBreakBefore w:val="0"/>
        <w:widowControl w:val="0"/>
        <w:kinsoku/>
        <w:wordWrap/>
        <w:overflowPunct/>
        <w:topLinePunct w:val="0"/>
        <w:autoSpaceDE/>
        <w:autoSpaceDN/>
        <w:bidi w:val="0"/>
        <w:spacing w:line="560" w:lineRule="exact"/>
        <w:textAlignment w:val="auto"/>
        <w:rPr>
          <w:rFonts w:hint="eastAsia" w:ascii="TimesNewRoman" w:hAnsi="TimesNewRoman" w:eastAsia="仿宋" w:cs="TimesNewRoman"/>
          <w:color w:val="auto"/>
          <w:sz w:val="32"/>
          <w:szCs w:val="32"/>
          <w:highlight w:val="none"/>
          <w:lang w:val="en-US" w:eastAsia="zh-CN"/>
        </w:rPr>
      </w:pPr>
      <w:r>
        <w:rPr>
          <w:rFonts w:hint="default" w:ascii="TimesNewRoman" w:hAnsi="TimesNewRoman" w:eastAsia="仿宋" w:cs="TimesNewRoman"/>
          <w:color w:val="auto"/>
          <w:sz w:val="32"/>
          <w:szCs w:val="32"/>
          <w:highlight w:val="none"/>
        </w:rPr>
        <w:t>项目名称：垫江县小厦建筑有限公司</w:t>
      </w:r>
      <w:r>
        <w:rPr>
          <w:rFonts w:hint="eastAsia" w:ascii="TimesNewRoman" w:hAnsi="TimesNewRoman" w:eastAsia="仿宋" w:cs="TimesNewRoman"/>
          <w:color w:val="auto"/>
          <w:sz w:val="32"/>
          <w:szCs w:val="32"/>
          <w:highlight w:val="none"/>
          <w:lang w:eastAsia="zh-CN"/>
        </w:rPr>
        <w:t>广告及标识标牌供应商征集</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 xml:space="preserve">    为促进甲乙双方在涉及资金、资产、货物、股权、知识产权等商务、工程及经济往来事项的合作中保障相关人员依法履职、秉公办事、廉洁用权，构建清清爽爽、干干净净的合作关系，旗帜鲜明反腐败，推动廉洁建设，根据有关法律法规规定，经甲乙双方商定，特作如下廉洁承诺，共同严格遵守。</w:t>
      </w:r>
    </w:p>
    <w:p>
      <w:pPr>
        <w:keepNext w:val="0"/>
        <w:keepLines w:val="0"/>
        <w:pageBreakBefore w:val="0"/>
        <w:widowControl w:val="0"/>
        <w:numPr>
          <w:ilvl w:val="0"/>
          <w:numId w:val="6"/>
        </w:numPr>
        <w:kinsoku/>
        <w:wordWrap/>
        <w:overflowPunct/>
        <w:topLinePunct w:val="0"/>
        <w:autoSpaceDE/>
        <w:autoSpaceDN/>
        <w:bidi w:val="0"/>
        <w:spacing w:line="560" w:lineRule="exact"/>
        <w:ind w:firstLine="640" w:firstLineChars="200"/>
        <w:textAlignment w:val="auto"/>
        <w:rPr>
          <w:rFonts w:hint="eastAsia" w:ascii="方正黑体_GBK" w:hAnsi="方正黑体_GBK" w:eastAsia="方正黑体_GBK" w:cs="方正黑体_GBK"/>
          <w:b w:val="0"/>
          <w:bCs w:val="0"/>
          <w:color w:val="auto"/>
          <w:sz w:val="32"/>
          <w:szCs w:val="32"/>
          <w:highlight w:val="none"/>
        </w:rPr>
      </w:pPr>
      <w:r>
        <w:rPr>
          <w:rFonts w:hint="eastAsia" w:ascii="方正黑体_GBK" w:hAnsi="方正黑体_GBK" w:eastAsia="方正黑体_GBK" w:cs="方正黑体_GBK"/>
          <w:b w:val="0"/>
          <w:bCs w:val="0"/>
          <w:color w:val="auto"/>
          <w:sz w:val="32"/>
          <w:szCs w:val="32"/>
          <w:highlight w:val="none"/>
        </w:rPr>
        <w:t>承诺主要内容</w:t>
      </w:r>
    </w:p>
    <w:p>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甲乙双方人员（包含但不限于经办、协助和各级管理人员及其配偶、子女、亲属和其他特定关系人，下同）不得借商务、工程合作及经济往来事项之机谋取个人私利，承诺严禁下列行为：</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1.甲方人员不得借工作之机违规对乙方吃拿卡要报，严禁违规索取、收受或暗示乙方人员给予任何名目的钱物或好处。</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2.乙方人员严禁以任何名义违规向甲方人员赠（输）送影响职务或职权廉洁的钱物或好处，严禁违规向甲方人员提供吃喝玩乐等消费，或支付应由甲方人员私人承担的费用。</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3.双方人员严禁私人资金借贷或违规借用对方物品。</w:t>
      </w:r>
    </w:p>
    <w:p>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b w:val="0"/>
          <w:bCs w:val="0"/>
          <w:color w:val="auto"/>
          <w:sz w:val="32"/>
          <w:szCs w:val="32"/>
          <w:highlight w:val="none"/>
        </w:rPr>
      </w:pPr>
      <w:r>
        <w:rPr>
          <w:rFonts w:hint="default" w:ascii="方正黑体_GBK" w:hAnsi="方正黑体_GBK" w:eastAsia="方正黑体_GBK" w:cs="方正黑体_GBK"/>
          <w:b w:val="0"/>
          <w:bCs w:val="0"/>
          <w:color w:val="auto"/>
          <w:sz w:val="32"/>
          <w:szCs w:val="32"/>
          <w:highlight w:val="none"/>
        </w:rPr>
        <w:t>二、违反承诺责任</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甲乙双方若违反上述承诺，自愿接受如下责任和处理：</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1.甲方人员违反上述承诺，由公司按照党纪党规、国家法律法规和单位规章制度予以经济处罚、组织处理、纪律处分或移送有关单位追究法律责任。</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违反上述承诺致甲方人员违纪违规或违法的，自愿同意按照双方合作事项总金额1%-5%的数目支付赔偿金给甲方，列入甲方黄色失信企业和人员，取消三年内与甲方业务合作资格；致甲方人员犯罪的，自愿同意按照双方合作事项总金额5%-10%的数目支付赔偿金给甲方，列入甲方黑色失信企业和人员，取消十年内与甲方业务合作资格。</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3.双方有权向对方监督人员或上级主管部门举报其相关人员违反承诺的不廉洁行为，对方须严格保密，不得打击报复。</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三、本承诺书一式4份，由甲乙双方及监督部门各留存1份。</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甲方公章：                               乙方公章：</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甲方代表签字：                           乙方代表签字：</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甲方监督单位及电话：                     乙方监督单位及电话：</w:t>
      </w:r>
    </w:p>
    <w:p>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p>
    <w:p>
      <w:pPr>
        <w:keepNext w:val="0"/>
        <w:keepLines w:val="0"/>
        <w:pageBreakBefore w:val="0"/>
        <w:widowControl w:val="0"/>
        <w:kinsoku/>
        <w:wordWrap/>
        <w:overflowPunct/>
        <w:topLinePunct w:val="0"/>
        <w:autoSpaceDE/>
        <w:autoSpaceDN/>
        <w:bidi w:val="0"/>
        <w:spacing w:line="560" w:lineRule="exact"/>
        <w:ind w:firstLine="6240" w:firstLineChars="195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年   月  日</w:t>
      </w:r>
    </w:p>
    <w:p>
      <w:pPr>
        <w:pStyle w:val="2"/>
        <w:rPr>
          <w:rFonts w:hint="eastAsia"/>
          <w:color w:val="auto"/>
          <w:highlight w:val="none"/>
        </w:rPr>
      </w:pPr>
    </w:p>
    <w:p>
      <w:pPr>
        <w:rPr>
          <w:rFonts w:hint="eastAsia"/>
          <w:color w:val="auto"/>
          <w:highlight w:val="none"/>
        </w:rPr>
      </w:pPr>
    </w:p>
    <w:p>
      <w:pPr>
        <w:pStyle w:val="2"/>
        <w:rPr>
          <w:rFonts w:hint="eastAsia"/>
          <w:color w:val="auto"/>
          <w:highlight w:val="none"/>
        </w:rPr>
      </w:pPr>
    </w:p>
    <w:p>
      <w:pPr>
        <w:rPr>
          <w:rFonts w:hint="eastAsia"/>
          <w:color w:val="auto"/>
          <w:highlight w:val="none"/>
        </w:rPr>
      </w:pPr>
    </w:p>
    <w:p>
      <w:pPr>
        <w:pStyle w:val="2"/>
        <w:rPr>
          <w:rFonts w:hint="eastAsia"/>
          <w:color w:val="auto"/>
          <w:highlight w:val="none"/>
        </w:rPr>
      </w:pPr>
    </w:p>
    <w:p>
      <w:pPr>
        <w:spacing w:line="400" w:lineRule="atLeast"/>
        <w:jc w:val="center"/>
        <w:rPr>
          <w:rFonts w:hint="eastAsia" w:ascii="宋体" w:hAnsi="宋体" w:cs="宋体"/>
          <w:color w:val="auto"/>
          <w:position w:val="5"/>
          <w:sz w:val="44"/>
          <w:szCs w:val="44"/>
          <w:highlight w:val="none"/>
        </w:rPr>
      </w:pPr>
    </w:p>
    <w:p>
      <w:pPr>
        <w:keepNext w:val="0"/>
        <w:keepLines w:val="0"/>
        <w:pageBreakBefore/>
        <w:widowControl w:val="0"/>
        <w:kinsoku/>
        <w:wordWrap/>
        <w:overflowPunct/>
        <w:topLinePunct w:val="0"/>
        <w:autoSpaceDE/>
        <w:autoSpaceDN/>
        <w:bidi w:val="0"/>
        <w:adjustRightInd/>
        <w:snapToGrid/>
        <w:spacing w:line="360" w:lineRule="auto"/>
        <w:jc w:val="center"/>
        <w:textAlignment w:val="auto"/>
        <w:rPr>
          <w:rFonts w:hint="eastAsia" w:ascii="宋体" w:hAnsi="宋体" w:cs="宋体"/>
          <w:color w:val="auto"/>
          <w:position w:val="5"/>
          <w:sz w:val="36"/>
          <w:szCs w:val="36"/>
          <w:highlight w:val="none"/>
        </w:rPr>
      </w:pPr>
      <w:r>
        <w:rPr>
          <w:rFonts w:hint="eastAsia" w:ascii="宋体" w:hAnsi="宋体" w:cs="宋体"/>
          <w:color w:val="auto"/>
          <w:position w:val="5"/>
          <w:sz w:val="36"/>
          <w:szCs w:val="36"/>
          <w:highlight w:val="none"/>
          <w:u w:val="single"/>
        </w:rPr>
        <w:t xml:space="preserve">             </w:t>
      </w:r>
      <w:r>
        <w:rPr>
          <w:rFonts w:hint="eastAsia" w:ascii="宋体" w:hAnsi="宋体" w:cs="宋体"/>
          <w:color w:val="auto"/>
          <w:position w:val="5"/>
          <w:sz w:val="36"/>
          <w:szCs w:val="36"/>
          <w:highlight w:val="none"/>
        </w:rPr>
        <w:t>（项目名称）</w:t>
      </w:r>
    </w:p>
    <w:p>
      <w:pPr>
        <w:pStyle w:val="13"/>
        <w:spacing w:after="0" w:line="400" w:lineRule="atLeast"/>
        <w:ind w:firstLine="1653" w:firstLineChars="588"/>
        <w:rPr>
          <w:rFonts w:hint="eastAsia" w:ascii="宋体" w:hAnsi="宋体" w:cs="宋体"/>
          <w:b/>
          <w:bCs/>
          <w:color w:val="auto"/>
          <w:sz w:val="28"/>
          <w:szCs w:val="28"/>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p>
      <w:pPr>
        <w:jc w:val="center"/>
        <w:rPr>
          <w:rFonts w:hint="eastAsia" w:ascii="宋体" w:hAnsi="宋体" w:cs="宋体"/>
          <w:bCs/>
          <w:color w:val="auto"/>
          <w:spacing w:val="20"/>
          <w:sz w:val="72"/>
          <w:szCs w:val="72"/>
          <w:highlight w:val="none"/>
        </w:rPr>
      </w:pPr>
      <w:r>
        <w:rPr>
          <w:rFonts w:hint="eastAsia" w:ascii="宋体" w:hAnsi="宋体" w:cs="宋体"/>
          <w:bCs/>
          <w:color w:val="auto"/>
          <w:spacing w:val="20"/>
          <w:sz w:val="72"/>
          <w:szCs w:val="72"/>
          <w:highlight w:val="none"/>
          <w:lang w:val="en-US" w:eastAsia="zh-CN"/>
        </w:rPr>
        <w:t>响 应</w:t>
      </w:r>
      <w:r>
        <w:rPr>
          <w:rFonts w:hint="eastAsia" w:ascii="宋体" w:hAnsi="宋体" w:cs="宋体"/>
          <w:bCs/>
          <w:color w:val="auto"/>
          <w:spacing w:val="20"/>
          <w:sz w:val="72"/>
          <w:szCs w:val="72"/>
          <w:highlight w:val="none"/>
        </w:rPr>
        <w:t xml:space="preserve"> 文 件</w:t>
      </w:r>
    </w:p>
    <w:p>
      <w:pPr>
        <w:autoSpaceDE w:val="0"/>
        <w:autoSpaceDN w:val="0"/>
        <w:spacing w:line="400" w:lineRule="atLeast"/>
        <w:rPr>
          <w:rFonts w:hint="eastAsia" w:ascii="宋体" w:hAnsi="宋体" w:cs="宋体"/>
          <w:color w:val="auto"/>
          <w:sz w:val="36"/>
          <w:highlight w:val="none"/>
        </w:rPr>
      </w:pPr>
    </w:p>
    <w:p>
      <w:pPr>
        <w:pStyle w:val="8"/>
        <w:rPr>
          <w:rFonts w:hint="eastAsia" w:ascii="宋体" w:hAnsi="宋体" w:cs="宋体"/>
          <w:color w:val="auto"/>
          <w:sz w:val="36"/>
          <w:highlight w:val="none"/>
        </w:rPr>
      </w:pPr>
    </w:p>
    <w:p>
      <w:pPr>
        <w:rPr>
          <w:rFonts w:hint="eastAsia" w:ascii="宋体" w:hAnsi="宋体" w:cs="宋体"/>
          <w:color w:val="auto"/>
          <w:sz w:val="36"/>
          <w:highlight w:val="none"/>
        </w:rPr>
      </w:pPr>
    </w:p>
    <w:p>
      <w:pPr>
        <w:pStyle w:val="8"/>
        <w:rPr>
          <w:rFonts w:hint="eastAsia" w:ascii="宋体" w:hAnsi="宋体" w:cs="宋体"/>
          <w:color w:val="auto"/>
          <w:sz w:val="36"/>
          <w:highlight w:val="none"/>
        </w:rPr>
      </w:pPr>
    </w:p>
    <w:p>
      <w:pPr>
        <w:rPr>
          <w:rFonts w:hint="eastAsia" w:ascii="宋体" w:hAnsi="宋体" w:cs="宋体"/>
          <w:color w:val="auto"/>
          <w:sz w:val="36"/>
          <w:highlight w:val="none"/>
        </w:rPr>
      </w:pPr>
    </w:p>
    <w:p>
      <w:pPr>
        <w:pStyle w:val="8"/>
        <w:rPr>
          <w:rFonts w:hint="eastAsia"/>
          <w:color w:val="auto"/>
          <w:highlight w:val="none"/>
        </w:rPr>
      </w:pPr>
    </w:p>
    <w:p>
      <w:pPr>
        <w:autoSpaceDE w:val="0"/>
        <w:autoSpaceDN w:val="0"/>
        <w:spacing w:line="400" w:lineRule="atLeast"/>
        <w:rPr>
          <w:rFonts w:hint="eastAsia" w:ascii="宋体" w:hAnsi="宋体" w:cs="宋体"/>
          <w:color w:val="auto"/>
          <w:sz w:val="36"/>
          <w:highlight w:val="none"/>
        </w:rPr>
      </w:pPr>
    </w:p>
    <w:p>
      <w:pPr>
        <w:autoSpaceDE w:val="0"/>
        <w:autoSpaceDN w:val="0"/>
        <w:spacing w:line="400" w:lineRule="atLeast"/>
        <w:rPr>
          <w:rFonts w:hint="eastAsia" w:ascii="宋体" w:hAnsi="宋体" w:cs="宋体"/>
          <w:color w:val="auto"/>
          <w:sz w:val="36"/>
          <w:highlight w:val="none"/>
        </w:rPr>
      </w:pPr>
    </w:p>
    <w:p>
      <w:pPr>
        <w:autoSpaceDE w:val="0"/>
        <w:autoSpaceDN w:val="0"/>
        <w:spacing w:line="400" w:lineRule="atLeast"/>
        <w:jc w:val="left"/>
        <w:rPr>
          <w:rFonts w:hint="eastAsia" w:ascii="宋体" w:hAnsi="宋体" w:cs="宋体"/>
          <w:color w:val="auto"/>
          <w:sz w:val="24"/>
          <w:highlight w:val="none"/>
        </w:rPr>
      </w:pPr>
    </w:p>
    <w:p>
      <w:pPr>
        <w:autoSpaceDE w:val="0"/>
        <w:autoSpaceDN w:val="0"/>
        <w:spacing w:line="400" w:lineRule="atLeast"/>
        <w:jc w:val="left"/>
        <w:rPr>
          <w:rFonts w:hint="eastAsia" w:ascii="宋体" w:hAnsi="宋体" w:cs="宋体"/>
          <w:color w:val="auto"/>
          <w:sz w:val="24"/>
          <w:highlight w:val="none"/>
        </w:rPr>
      </w:pPr>
    </w:p>
    <w:tbl>
      <w:tblPr>
        <w:tblStyle w:val="16"/>
        <w:tblW w:w="9060" w:type="dxa"/>
        <w:tblInd w:w="0" w:type="dxa"/>
        <w:tblLayout w:type="fixed"/>
        <w:tblCellMar>
          <w:top w:w="0" w:type="dxa"/>
          <w:left w:w="108" w:type="dxa"/>
          <w:bottom w:w="0" w:type="dxa"/>
          <w:right w:w="108" w:type="dxa"/>
        </w:tblCellMar>
      </w:tblPr>
      <w:tblGrid>
        <w:gridCol w:w="1817"/>
        <w:gridCol w:w="7243"/>
      </w:tblGrid>
      <w:tr>
        <w:tblPrEx>
          <w:tblCellMar>
            <w:top w:w="0" w:type="dxa"/>
            <w:left w:w="108" w:type="dxa"/>
            <w:bottom w:w="0" w:type="dxa"/>
            <w:right w:w="108" w:type="dxa"/>
          </w:tblCellMar>
        </w:tblPrEx>
        <w:trPr>
          <w:trHeight w:val="673" w:hRule="atLeast"/>
        </w:trPr>
        <w:tc>
          <w:tcPr>
            <w:tcW w:w="1817" w:type="dxa"/>
            <w:noWrap w:val="0"/>
            <w:vAlign w:val="top"/>
          </w:tcPr>
          <w:p>
            <w:pPr>
              <w:autoSpaceDE w:val="0"/>
              <w:autoSpaceDN w:val="0"/>
              <w:spacing w:line="400" w:lineRule="atLeast"/>
              <w:jc w:val="center"/>
              <w:rPr>
                <w:rFonts w:hint="eastAsia" w:ascii="宋体" w:hAnsi="宋体" w:cs="宋体"/>
                <w:b/>
                <w:color w:val="auto"/>
                <w:sz w:val="28"/>
                <w:highlight w:val="none"/>
              </w:rPr>
            </w:pPr>
            <w:r>
              <w:rPr>
                <w:rFonts w:hint="eastAsia" w:ascii="宋体" w:hAnsi="宋体" w:cs="宋体"/>
                <w:b/>
                <w:color w:val="auto"/>
                <w:sz w:val="28"/>
                <w:highlight w:val="none"/>
              </w:rPr>
              <w:t xml:space="preserve"> </w:t>
            </w:r>
            <w:r>
              <w:rPr>
                <w:rFonts w:hint="eastAsia" w:ascii="宋体" w:hAnsi="宋体" w:cs="宋体"/>
                <w:b/>
                <w:color w:val="auto"/>
                <w:sz w:val="28"/>
                <w:highlight w:val="none"/>
                <w:lang w:val="en-US" w:eastAsia="zh-CN"/>
              </w:rPr>
              <w:t>供 应 商</w:t>
            </w:r>
            <w:r>
              <w:rPr>
                <w:rFonts w:hint="eastAsia" w:ascii="宋体" w:hAnsi="宋体" w:cs="宋体"/>
                <w:b/>
                <w:color w:val="auto"/>
                <w:sz w:val="28"/>
                <w:highlight w:val="none"/>
              </w:rPr>
              <w:t>：</w:t>
            </w:r>
          </w:p>
        </w:tc>
        <w:tc>
          <w:tcPr>
            <w:tcW w:w="7243" w:type="dxa"/>
            <w:noWrap w:val="0"/>
            <w:vAlign w:val="top"/>
          </w:tcPr>
          <w:p>
            <w:pPr>
              <w:autoSpaceDE w:val="0"/>
              <w:autoSpaceDN w:val="0"/>
              <w:spacing w:line="400" w:lineRule="atLeast"/>
              <w:jc w:val="left"/>
              <w:rPr>
                <w:rFonts w:hint="eastAsia" w:ascii="宋体" w:hAnsi="宋体" w:cs="宋体"/>
                <w:color w:val="auto"/>
                <w:sz w:val="24"/>
                <w:highlight w:val="none"/>
                <w:u w:val="single"/>
              </w:rPr>
            </w:pP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u w:val="single"/>
              </w:rPr>
              <w:t>(单位名称)</w:t>
            </w: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rPr>
              <w:t>(加盖单位公章)</w:t>
            </w:r>
          </w:p>
        </w:tc>
      </w:tr>
    </w:tbl>
    <w:p>
      <w:pPr>
        <w:widowControl/>
        <w:autoSpaceDE w:val="0"/>
        <w:autoSpaceDN w:val="0"/>
        <w:spacing w:line="400" w:lineRule="atLeast"/>
        <w:jc w:val="center"/>
        <w:textAlignment w:val="bottom"/>
        <w:rPr>
          <w:rFonts w:hint="eastAsia" w:ascii="宋体" w:hAnsi="宋体" w:cs="宋体"/>
          <w:b/>
          <w:color w:val="auto"/>
          <w:sz w:val="30"/>
          <w:highlight w:val="none"/>
          <w:u w:val="single"/>
        </w:rPr>
      </w:pP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年</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月</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日</w:t>
      </w:r>
    </w:p>
    <w:p>
      <w:pPr>
        <w:spacing w:line="20" w:lineRule="exact"/>
        <w:rPr>
          <w:rFonts w:hint="eastAsia" w:ascii="宋体" w:hAnsi="宋体" w:cs="宋体"/>
          <w:color w:val="auto"/>
          <w:spacing w:val="30"/>
          <w:sz w:val="15"/>
          <w:szCs w:val="8"/>
          <w:highlight w:val="none"/>
        </w:rPr>
      </w:pPr>
      <w:r>
        <w:rPr>
          <w:rFonts w:hint="eastAsia" w:ascii="宋体" w:hAnsi="宋体" w:cs="宋体"/>
          <w:bCs/>
          <w:color w:val="auto"/>
          <w:sz w:val="30"/>
          <w:highlight w:val="none"/>
        </w:rPr>
        <w:br w:type="page"/>
      </w:r>
    </w:p>
    <w:p>
      <w:pPr>
        <w:pStyle w:val="4"/>
        <w:jc w:val="center"/>
        <w:rPr>
          <w:rFonts w:hint="eastAsia" w:ascii="宋体" w:hAnsi="宋体" w:cs="宋体"/>
          <w:color w:val="auto"/>
          <w:highlight w:val="none"/>
        </w:rPr>
      </w:pPr>
      <w:bookmarkStart w:id="3" w:name="_Toc491883230"/>
      <w:r>
        <w:rPr>
          <w:rFonts w:hint="eastAsia" w:ascii="宋体" w:hAnsi="宋体" w:cs="宋体"/>
          <w:color w:val="auto"/>
          <w:highlight w:val="none"/>
        </w:rPr>
        <w:t>目    录</w:t>
      </w:r>
      <w:bookmarkEnd w:id="3"/>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一、</w:t>
      </w:r>
      <w:r>
        <w:rPr>
          <w:rFonts w:hint="eastAsia" w:ascii="宋体" w:hAnsi="宋体" w:cs="宋体"/>
          <w:color w:val="auto"/>
          <w:sz w:val="24"/>
          <w:szCs w:val="24"/>
          <w:highlight w:val="none"/>
          <w:lang w:val="en-US" w:eastAsia="zh-CN"/>
        </w:rPr>
        <w:t>报价</w:t>
      </w:r>
      <w:r>
        <w:rPr>
          <w:rFonts w:hint="eastAsia" w:ascii="宋体" w:hAnsi="宋体" w:cs="宋体"/>
          <w:color w:val="auto"/>
          <w:sz w:val="24"/>
          <w:szCs w:val="24"/>
          <w:highlight w:val="none"/>
        </w:rPr>
        <w:t>函</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二、法定代表人身份证明或附有法定代表人身份证明的授权委托书  </w:t>
      </w:r>
    </w:p>
    <w:p>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rPr>
        <w:t>三、供应商资格条件</w:t>
      </w:r>
      <w:r>
        <w:rPr>
          <w:rFonts w:hint="eastAsia" w:ascii="宋体" w:hAnsi="宋体" w:cs="宋体"/>
          <w:color w:val="auto"/>
          <w:sz w:val="24"/>
          <w:szCs w:val="24"/>
          <w:highlight w:val="none"/>
          <w:lang w:eastAsia="zh-CN"/>
        </w:rPr>
        <w:t>证明资料</w:t>
      </w:r>
    </w:p>
    <w:p>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四、其他资料（如有）</w:t>
      </w:r>
    </w:p>
    <w:p>
      <w:pPr>
        <w:spacing w:line="360" w:lineRule="auto"/>
        <w:rPr>
          <w:rFonts w:hint="eastAsia" w:ascii="宋体" w:hAnsi="宋体" w:cs="宋体"/>
          <w:color w:val="auto"/>
          <w:sz w:val="24"/>
          <w:szCs w:val="24"/>
          <w:highlight w:val="none"/>
        </w:rPr>
      </w:pPr>
    </w:p>
    <w:p>
      <w:pPr>
        <w:spacing w:line="360" w:lineRule="auto"/>
        <w:rPr>
          <w:rFonts w:hint="eastAsia" w:ascii="宋体" w:hAnsi="宋体" w:cs="宋体"/>
          <w:color w:val="auto"/>
          <w:sz w:val="24"/>
          <w:szCs w:val="24"/>
          <w:highlight w:val="none"/>
        </w:rPr>
      </w:pPr>
    </w:p>
    <w:p>
      <w:pPr>
        <w:spacing w:line="540" w:lineRule="exact"/>
        <w:rPr>
          <w:rFonts w:hint="eastAsia" w:ascii="宋体" w:hAnsi="宋体" w:cs="宋体"/>
          <w:color w:val="auto"/>
          <w:sz w:val="20"/>
          <w:highlight w:val="none"/>
        </w:rPr>
      </w:pPr>
      <w:bookmarkStart w:id="4" w:name="_Toc7039"/>
      <w:bookmarkStart w:id="5" w:name="_Toc352691655"/>
      <w:bookmarkStart w:id="6" w:name="_Toc369531691"/>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hint="eastAsia" w:ascii="宋体" w:hAnsi="宋体" w:cs="宋体"/>
          <w:color w:val="auto"/>
          <w:sz w:val="20"/>
          <w:highlight w:val="none"/>
        </w:rPr>
      </w:pPr>
    </w:p>
    <w:p>
      <w:pPr>
        <w:pStyle w:val="65"/>
        <w:rPr>
          <w:rFonts w:ascii="宋体" w:hAnsi="宋体" w:cs="宋体"/>
          <w:color w:val="auto"/>
          <w:sz w:val="20"/>
          <w:highlight w:val="none"/>
        </w:rPr>
        <w:sectPr>
          <w:pgSz w:w="12240" w:h="15840"/>
          <w:pgMar w:top="1134" w:right="1417" w:bottom="1134" w:left="1417" w:header="720" w:footer="720" w:gutter="0"/>
          <w:pgNumType w:fmt="decimal"/>
          <w:cols w:space="720" w:num="1"/>
          <w:docGrid w:linePitch="285" w:charSpace="0"/>
        </w:sectPr>
      </w:pPr>
    </w:p>
    <w:bookmarkEnd w:id="4"/>
    <w:bookmarkEnd w:id="5"/>
    <w:bookmarkEnd w:id="6"/>
    <w:p>
      <w:pPr>
        <w:pStyle w:val="4"/>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cs="宋体"/>
          <w:color w:val="auto"/>
          <w:highlight w:val="none"/>
        </w:rPr>
      </w:pPr>
      <w:bookmarkStart w:id="7" w:name="_Toc491883231"/>
      <w:r>
        <w:rPr>
          <w:rFonts w:hint="eastAsia" w:ascii="宋体" w:hAnsi="宋体" w:cs="宋体"/>
          <w:color w:val="auto"/>
          <w:highlight w:val="none"/>
        </w:rPr>
        <w:t>一、</w:t>
      </w:r>
      <w:bookmarkStart w:id="8" w:name="_Toc369531692"/>
      <w:bookmarkStart w:id="9" w:name="_Toc6931"/>
      <w:bookmarkStart w:id="10" w:name="_Toc352691656"/>
      <w:r>
        <w:rPr>
          <w:rFonts w:hint="eastAsia" w:ascii="宋体" w:hAnsi="宋体" w:cs="宋体"/>
          <w:color w:val="auto"/>
          <w:highlight w:val="none"/>
          <w:lang w:eastAsia="zh-CN"/>
        </w:rPr>
        <w:t>报价</w:t>
      </w:r>
      <w:r>
        <w:rPr>
          <w:rFonts w:hint="eastAsia" w:ascii="宋体" w:hAnsi="宋体" w:cs="宋体"/>
          <w:color w:val="auto"/>
          <w:highlight w:val="none"/>
        </w:rPr>
        <w:t>函</w:t>
      </w:r>
      <w:bookmarkEnd w:id="7"/>
    </w:p>
    <w:bookmarkEnd w:id="8"/>
    <w:bookmarkEnd w:id="9"/>
    <w:bookmarkEnd w:id="10"/>
    <w:p>
      <w:pPr>
        <w:spacing w:line="360" w:lineRule="auto"/>
        <w:ind w:firstLine="405"/>
        <w:rPr>
          <w:rFonts w:hint="eastAsia" w:ascii="宋体" w:hAnsi="宋体" w:eastAsia="宋体" w:cs="宋体"/>
          <w:color w:val="auto"/>
          <w:highlight w:val="none"/>
        </w:rPr>
      </w:pPr>
      <w:bookmarkStart w:id="11" w:name="_Toc247527827"/>
      <w:bookmarkStart w:id="12" w:name="_Toc152042576"/>
      <w:bookmarkStart w:id="13" w:name="_Toc17960"/>
      <w:bookmarkStart w:id="14" w:name="_Toc152045787"/>
      <w:bookmarkStart w:id="15" w:name="_Toc247514246"/>
      <w:bookmarkStart w:id="16" w:name="_Toc144974856"/>
      <w:bookmarkStart w:id="17" w:name="_Toc361508752"/>
      <w:bookmarkStart w:id="18" w:name="_Toc369531697"/>
      <w:bookmarkStart w:id="19" w:name="_Toc300835209"/>
      <w:bookmarkStart w:id="20" w:name="_Toc384308375"/>
      <w:bookmarkStart w:id="21" w:name="_Toc352691661"/>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我方已仔细研究了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（项目名称）</w:t>
      </w:r>
      <w:r>
        <w:rPr>
          <w:rFonts w:hint="eastAsia" w:ascii="宋体" w:hAnsi="宋体" w:cs="宋体"/>
          <w:color w:val="auto"/>
          <w:highlight w:val="none"/>
          <w:lang w:eastAsia="zh-CN"/>
        </w:rPr>
        <w:t>征集</w:t>
      </w:r>
      <w:r>
        <w:rPr>
          <w:rFonts w:hint="eastAsia" w:ascii="宋体" w:hAnsi="宋体" w:eastAsia="宋体" w:cs="宋体"/>
          <w:color w:val="auto"/>
          <w:highlight w:val="none"/>
          <w:lang w:eastAsia="zh-CN"/>
        </w:rPr>
        <w:t>文件</w:t>
      </w:r>
      <w:r>
        <w:rPr>
          <w:rFonts w:hint="eastAsia" w:ascii="宋体" w:hAnsi="宋体" w:eastAsia="宋体" w:cs="宋体"/>
          <w:color w:val="auto"/>
          <w:highlight w:val="none"/>
        </w:rPr>
        <w:t>的全部内容，愿意</w:t>
      </w:r>
      <w:r>
        <w:rPr>
          <w:rFonts w:hint="eastAsia" w:ascii="宋体" w:hAnsi="宋体" w:eastAsia="宋体" w:cs="宋体"/>
          <w:color w:val="auto"/>
          <w:highlight w:val="none"/>
          <w:lang w:val="en-US" w:eastAsia="zh-CN"/>
        </w:rPr>
        <w:t>以</w:t>
      </w:r>
      <w:r>
        <w:rPr>
          <w:rFonts w:hint="eastAsia" w:ascii="宋体" w:hAnsi="宋体" w:cs="宋体"/>
          <w:color w:val="auto"/>
          <w:highlight w:val="none"/>
          <w:lang w:val="en-US" w:eastAsia="zh-CN"/>
        </w:rPr>
        <w:t>报价</w:t>
      </w:r>
      <w:r>
        <w:rPr>
          <w:rFonts w:hint="eastAsia" w:ascii="宋体" w:hAnsi="宋体" w:eastAsia="宋体" w:cs="宋体"/>
          <w:color w:val="auto"/>
          <w:highlight w:val="none"/>
          <w:lang w:val="en-US" w:eastAsia="zh-CN"/>
        </w:rPr>
        <w:t>函附录的报价</w:t>
      </w:r>
      <w:r>
        <w:rPr>
          <w:rFonts w:hint="eastAsia" w:ascii="宋体" w:hAnsi="宋体" w:eastAsia="宋体" w:cs="宋体"/>
          <w:color w:val="auto"/>
          <w:highlight w:val="none"/>
        </w:rPr>
        <w:t>作为本项目的</w:t>
      </w:r>
      <w:r>
        <w:rPr>
          <w:rFonts w:hint="eastAsia" w:ascii="宋体" w:hAnsi="宋体" w:eastAsia="宋体" w:cs="宋体"/>
          <w:color w:val="auto"/>
          <w:highlight w:val="none"/>
          <w:lang w:eastAsia="zh-CN"/>
        </w:rPr>
        <w:t>响应</w:t>
      </w:r>
      <w:r>
        <w:rPr>
          <w:rFonts w:hint="eastAsia" w:ascii="宋体" w:hAnsi="宋体" w:eastAsia="宋体" w:cs="宋体"/>
          <w:color w:val="auto"/>
          <w:highlight w:val="none"/>
        </w:rPr>
        <w:t>报价，并按</w:t>
      </w:r>
      <w:r>
        <w:rPr>
          <w:rFonts w:hint="eastAsia" w:ascii="宋体" w:hAnsi="宋体" w:eastAsia="宋体" w:cs="宋体"/>
          <w:color w:val="auto"/>
          <w:highlight w:val="none"/>
          <w:lang w:val="en-US" w:eastAsia="zh-CN"/>
        </w:rPr>
        <w:t>此</w:t>
      </w:r>
      <w:r>
        <w:rPr>
          <w:rFonts w:hint="eastAsia" w:ascii="宋体" w:hAnsi="宋体" w:eastAsia="宋体" w:cs="宋体"/>
          <w:color w:val="auto"/>
          <w:highlight w:val="none"/>
        </w:rPr>
        <w:t>报价签订合同并按约定实施，</w:t>
      </w:r>
      <w:r>
        <w:rPr>
          <w:rFonts w:hint="eastAsia" w:ascii="宋体" w:hAnsi="宋体" w:cs="宋体"/>
          <w:color w:val="auto"/>
          <w:highlight w:val="none"/>
          <w:lang w:eastAsia="zh-CN"/>
        </w:rPr>
        <w:t>质量达到</w:t>
      </w:r>
      <w:r>
        <w:rPr>
          <w:rFonts w:hint="default" w:ascii="宋体" w:hAnsi="宋体" w:eastAsia="宋体" w:cs="宋体"/>
          <w:color w:val="auto"/>
          <w:highlight w:val="none"/>
          <w:u w:val="single"/>
          <w:lang w:val="en-US" w:eastAsia="zh-CN"/>
        </w:rPr>
        <w:t>现行国家技术规格及质量要求</w:t>
      </w:r>
      <w:r>
        <w:rPr>
          <w:rFonts w:hint="eastAsia" w:ascii="宋体" w:hAnsi="宋体" w:cs="宋体"/>
          <w:color w:val="auto"/>
          <w:highlight w:val="none"/>
          <w:lang w:eastAsia="zh-CN"/>
        </w:rPr>
        <w:t>，</w:t>
      </w:r>
      <w:r>
        <w:rPr>
          <w:rFonts w:hint="eastAsia" w:ascii="宋体" w:hAnsi="宋体" w:eastAsia="宋体" w:cs="宋体"/>
          <w:color w:val="auto"/>
          <w:highlight w:val="none"/>
        </w:rPr>
        <w:t>采购数量以</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最终需求数量为准。</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2.供货期：</w:t>
      </w:r>
      <w:r>
        <w:rPr>
          <w:rFonts w:hint="eastAsia" w:ascii="宋体" w:hAnsi="宋体" w:eastAsia="宋体" w:cs="宋体"/>
          <w:color w:val="auto"/>
          <w:highlight w:val="none"/>
          <w:lang w:val="en-US" w:eastAsia="zh-CN"/>
        </w:rPr>
        <w:t>半</w:t>
      </w:r>
      <w:r>
        <w:rPr>
          <w:rFonts w:hint="eastAsia" w:ascii="宋体" w:hAnsi="宋体" w:eastAsia="宋体" w:cs="宋体"/>
          <w:color w:val="auto"/>
          <w:highlight w:val="none"/>
        </w:rPr>
        <w:t>年，每批次交货</w:t>
      </w:r>
      <w:r>
        <w:rPr>
          <w:rFonts w:hint="eastAsia" w:ascii="宋体" w:hAnsi="宋体" w:eastAsia="宋体" w:cs="宋体"/>
          <w:color w:val="auto"/>
          <w:highlight w:val="none"/>
          <w:lang w:val="en-US" w:eastAsia="zh-CN"/>
        </w:rPr>
        <w:t>及服务</w:t>
      </w:r>
      <w:r>
        <w:rPr>
          <w:rFonts w:hint="eastAsia" w:ascii="宋体" w:hAnsi="宋体" w:eastAsia="宋体" w:cs="宋体"/>
          <w:color w:val="auto"/>
          <w:highlight w:val="none"/>
        </w:rPr>
        <w:t>时间</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另行通知。</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3.我方的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包括下列内容：</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（1）报价函</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lang w:eastAsia="zh-CN"/>
        </w:rPr>
        <w:t>（</w:t>
      </w:r>
      <w:r>
        <w:rPr>
          <w:rFonts w:hint="eastAsia" w:ascii="宋体" w:hAnsi="宋体" w:cs="宋体"/>
          <w:color w:val="auto"/>
          <w:highlight w:val="none"/>
          <w:lang w:val="en-US" w:eastAsia="zh-CN"/>
        </w:rPr>
        <w:t>2</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法定代表人身份证明或附有法定代表人身份证明的授权委托书；</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（3）资格审查资料；</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4.</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的上述组成部分如存在内容不一致的，以</w:t>
      </w:r>
      <w:r>
        <w:rPr>
          <w:rFonts w:hint="eastAsia" w:ascii="宋体" w:hAnsi="宋体" w:eastAsia="宋体" w:cs="宋体"/>
          <w:color w:val="auto"/>
          <w:highlight w:val="none"/>
          <w:lang w:eastAsia="zh-CN"/>
        </w:rPr>
        <w:t>报价</w:t>
      </w:r>
      <w:r>
        <w:rPr>
          <w:rFonts w:hint="eastAsia" w:ascii="宋体" w:hAnsi="宋体" w:eastAsia="宋体" w:cs="宋体"/>
          <w:color w:val="auto"/>
          <w:highlight w:val="none"/>
        </w:rPr>
        <w:t>函为准。</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5.我方承诺响应</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的全部要求。</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6.我方承诺在</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规定的有效期内不撤销</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7.如我方</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，我方承诺：</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（1）在收到</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通知书后，在</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通知书规定的期</w:t>
      </w:r>
      <w:r>
        <w:rPr>
          <w:rFonts w:hint="eastAsia" w:ascii="宋体" w:hAnsi="宋体" w:eastAsia="宋体" w:cs="宋体"/>
          <w:color w:val="auto"/>
          <w:highlight w:val="none"/>
          <w:u w:val="single"/>
        </w:rPr>
        <w:t>限内</w:t>
      </w:r>
      <w:r>
        <w:rPr>
          <w:rFonts w:hint="default" w:ascii="宋体" w:hAnsi="宋体" w:eastAsia="宋体" w:cs="宋体"/>
          <w:color w:val="auto"/>
          <w:highlight w:val="none"/>
          <w:u w:val="single"/>
          <w:lang w:val="en-US"/>
        </w:rPr>
        <w:t>缴纳履约保证金并完成后续事宜</w:t>
      </w:r>
      <w:r>
        <w:rPr>
          <w:rFonts w:hint="eastAsia" w:ascii="宋体" w:hAnsi="宋体" w:eastAsia="宋体" w:cs="宋体"/>
          <w:color w:val="auto"/>
          <w:highlight w:val="none"/>
        </w:rPr>
        <w:t>；</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（2）在</w:t>
      </w:r>
      <w:r>
        <w:rPr>
          <w:rFonts w:hint="default" w:ascii="宋体" w:hAnsi="宋体" w:eastAsia="宋体" w:cs="宋体"/>
          <w:color w:val="auto"/>
          <w:highlight w:val="none"/>
          <w:lang w:val="en-US"/>
        </w:rPr>
        <w:t>履行本文件约定事宜</w:t>
      </w:r>
      <w:r>
        <w:rPr>
          <w:rFonts w:hint="eastAsia" w:ascii="宋体" w:hAnsi="宋体" w:eastAsia="宋体" w:cs="宋体"/>
          <w:color w:val="auto"/>
          <w:highlight w:val="none"/>
        </w:rPr>
        <w:t>时不向你方提出附加条件；</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（3）在</w:t>
      </w:r>
      <w:r>
        <w:rPr>
          <w:rFonts w:hint="default" w:ascii="宋体" w:hAnsi="宋体" w:eastAsia="宋体" w:cs="宋体"/>
          <w:color w:val="auto"/>
          <w:highlight w:val="none"/>
          <w:lang w:val="en-US"/>
        </w:rPr>
        <w:t>本文件</w:t>
      </w:r>
      <w:r>
        <w:rPr>
          <w:rFonts w:hint="eastAsia" w:ascii="宋体" w:hAnsi="宋体" w:eastAsia="宋体" w:cs="宋体"/>
          <w:color w:val="auto"/>
          <w:highlight w:val="none"/>
        </w:rPr>
        <w:t>约定的期限内完成规定的全部义务。</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8.我方在此声明，所递交的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及有关资料内容完整、真实和准确。</w:t>
      </w:r>
    </w:p>
    <w:p>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9.</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rPr>
        <w:tab/>
      </w:r>
      <w:r>
        <w:rPr>
          <w:rFonts w:hint="eastAsia" w:ascii="宋体" w:hAnsi="宋体" w:eastAsia="宋体" w:cs="宋体"/>
          <w:color w:val="auto"/>
          <w:highlight w:val="none"/>
        </w:rPr>
        <w:t>（其他补充说明）。</w:t>
      </w:r>
    </w:p>
    <w:p>
      <w:pPr>
        <w:pStyle w:val="65"/>
        <w:rPr>
          <w:rFonts w:hint="eastAsia" w:ascii="宋体" w:hAnsi="宋体" w:cs="宋体"/>
          <w:color w:val="auto"/>
          <w:highlight w:val="none"/>
        </w:rPr>
      </w:pP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pPr>
        <w:spacing w:line="440" w:lineRule="exact"/>
        <w:jc w:val="left"/>
        <w:rPr>
          <w:rFonts w:hint="eastAsia" w:ascii="宋体" w:hAnsi="宋体" w:cs="宋体"/>
          <w:color w:val="auto"/>
          <w:szCs w:val="21"/>
          <w:highlight w:val="none"/>
        </w:rPr>
      </w:pPr>
      <w:r>
        <w:rPr>
          <w:rFonts w:hint="eastAsia" w:ascii="宋体" w:hAnsi="宋体" w:cs="宋体"/>
          <w:color w:val="auto"/>
          <w:highlight w:val="none"/>
        </w:rPr>
        <w:t xml:space="preserve">                        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地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网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电    话：</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pPr>
        <w:spacing w:line="440" w:lineRule="exact"/>
        <w:ind w:firstLine="2520" w:firstLineChars="1200"/>
        <w:jc w:val="left"/>
        <w:rPr>
          <w:rFonts w:hint="eastAsia" w:ascii="宋体" w:hAnsi="宋体" w:cs="宋体"/>
          <w:color w:val="auto"/>
          <w:szCs w:val="21"/>
          <w:highlight w:val="none"/>
          <w:u w:val="single"/>
        </w:rPr>
      </w:pPr>
      <w:r>
        <w:rPr>
          <w:rFonts w:hint="eastAsia" w:ascii="宋体" w:hAnsi="宋体" w:cs="宋体"/>
          <w:color w:val="auto"/>
          <w:szCs w:val="21"/>
          <w:highlight w:val="none"/>
        </w:rPr>
        <w:t>邮政编码：</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pPr>
        <w:spacing w:line="440" w:lineRule="exact"/>
        <w:ind w:firstLine="2520" w:firstLineChars="1200"/>
        <w:jc w:val="center"/>
        <w:rPr>
          <w:rFonts w:hint="eastAsia"/>
          <w:color w:val="auto"/>
          <w:highlight w:val="none"/>
        </w:rPr>
      </w:pP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pPr>
        <w:pStyle w:val="4"/>
        <w:jc w:val="both"/>
        <w:rPr>
          <w:rFonts w:hint="eastAsia" w:ascii="宋体" w:hAnsi="宋体" w:eastAsia="宋体" w:cs="宋体"/>
          <w:b/>
          <w:bCs/>
          <w:color w:val="auto"/>
          <w:kern w:val="0"/>
          <w:sz w:val="32"/>
          <w:szCs w:val="32"/>
          <w:highlight w:val="none"/>
          <w:lang w:val="en-US" w:eastAsia="zh-CN" w:bidi="ar-SA"/>
        </w:rPr>
      </w:pPr>
      <w:bookmarkStart w:id="22" w:name="_Toc491883232"/>
    </w:p>
    <w:p>
      <w:pPr>
        <w:pStyle w:val="4"/>
        <w:keepNext w:val="0"/>
        <w:keepLines w:val="0"/>
        <w:pageBreakBefore/>
        <w:widowControl w:val="0"/>
        <w:kinsoku/>
        <w:wordWrap/>
        <w:overflowPunct/>
        <w:topLinePunct w:val="0"/>
        <w:autoSpaceDE w:val="0"/>
        <w:autoSpaceDN w:val="0"/>
        <w:bidi w:val="0"/>
        <w:adjustRightInd w:val="0"/>
        <w:snapToGrid w:val="0"/>
        <w:jc w:val="center"/>
        <w:textAlignment w:val="auto"/>
        <w:rPr>
          <w:rFonts w:hint="eastAsia" w:ascii="宋体" w:hAnsi="宋体" w:eastAsia="宋体" w:cs="宋体"/>
          <w:b/>
          <w:bCs/>
          <w:color w:val="auto"/>
          <w:kern w:val="0"/>
          <w:sz w:val="32"/>
          <w:szCs w:val="32"/>
          <w:highlight w:val="none"/>
          <w:lang w:val="en-US" w:eastAsia="zh-CN" w:bidi="ar-SA"/>
        </w:rPr>
      </w:pPr>
      <w:r>
        <w:rPr>
          <w:rFonts w:hint="eastAsia" w:ascii="宋体" w:hAnsi="宋体" w:eastAsia="宋体" w:cs="宋体"/>
          <w:b/>
          <w:bCs/>
          <w:color w:val="auto"/>
          <w:kern w:val="0"/>
          <w:sz w:val="32"/>
          <w:szCs w:val="32"/>
          <w:highlight w:val="none"/>
          <w:lang w:val="en-US" w:eastAsia="zh-CN" w:bidi="ar-SA"/>
        </w:rPr>
        <w:t>报价函附录（即报价清单）</w:t>
      </w:r>
    </w:p>
    <w:p>
      <w:pPr>
        <w:keepNext/>
        <w:keepLines/>
        <w:pageBreakBefore w:val="0"/>
        <w:widowControl w:val="0"/>
        <w:kinsoku/>
        <w:wordWrap/>
        <w:overflowPunct/>
        <w:topLinePunct w:val="0"/>
        <w:autoSpaceDE/>
        <w:autoSpaceDN/>
        <w:bidi w:val="0"/>
        <w:adjustRightInd/>
        <w:snapToGrid/>
        <w:spacing w:before="0" w:after="0" w:line="240" w:lineRule="auto"/>
        <w:ind w:firstLine="420" w:firstLineChars="200"/>
        <w:jc w:val="left"/>
        <w:textAlignment w:val="auto"/>
        <w:outlineLvl w:val="9"/>
        <w:rPr>
          <w:rFonts w:hint="eastAsia" w:ascii="仿宋" w:hAnsi="仿宋" w:eastAsia="仿宋" w:cs="仿宋"/>
          <w:color w:val="auto"/>
          <w:szCs w:val="21"/>
          <w:highlight w:val="none"/>
          <w:lang w:val="en-US" w:eastAsia="zh-CN"/>
        </w:rPr>
      </w:pPr>
      <w:r>
        <w:rPr>
          <w:rFonts w:hint="eastAsia" w:ascii="仿宋" w:hAnsi="仿宋" w:eastAsia="仿宋" w:cs="仿宋"/>
          <w:color w:val="auto"/>
          <w:szCs w:val="21"/>
          <w:highlight w:val="none"/>
          <w:lang w:val="en-US" w:eastAsia="zh-CN"/>
        </w:rPr>
        <w:t>按采购人发布的各类别材料清单的表格填写报价并逐页加盖供应商单位公章（</w:t>
      </w:r>
      <w:r>
        <w:rPr>
          <w:rFonts w:hint="eastAsia" w:ascii="仿宋" w:hAnsi="仿宋" w:eastAsia="仿宋" w:cs="仿宋"/>
          <w:b/>
          <w:bCs/>
          <w:color w:val="000000"/>
          <w:sz w:val="21"/>
          <w:szCs w:val="21"/>
          <w:highlight w:val="none"/>
          <w:lang w:val="en-US" w:eastAsia="zh-CN"/>
        </w:rPr>
        <w:t>供应商在《垫江县小厦建筑有限公司广告及标识标牌清单》中没有的材料可以空着不填，但清单中未详尽材料内容不可自行添加</w:t>
      </w:r>
      <w:r>
        <w:rPr>
          <w:rFonts w:hint="eastAsia" w:ascii="仿宋" w:hAnsi="仿宋" w:eastAsia="仿宋" w:cs="仿宋"/>
          <w:color w:val="auto"/>
          <w:szCs w:val="21"/>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垫江县小厦建筑有限公司广告及标识标牌清单</w:t>
      </w:r>
    </w:p>
    <w:tbl>
      <w:tblPr>
        <w:tblStyle w:val="16"/>
        <w:tblpPr w:leftFromText="180" w:rightFromText="180" w:vertAnchor="text" w:horzAnchor="page" w:tblpX="689" w:tblpY="136"/>
        <w:tblOverlap w:val="never"/>
        <w:tblW w:w="10594" w:type="dxa"/>
        <w:tblInd w:w="0" w:type="dxa"/>
        <w:tblLayout w:type="fixed"/>
        <w:tblCellMar>
          <w:top w:w="0" w:type="dxa"/>
          <w:left w:w="108" w:type="dxa"/>
          <w:bottom w:w="0" w:type="dxa"/>
          <w:right w:w="108" w:type="dxa"/>
        </w:tblCellMar>
      </w:tblPr>
      <w:tblGrid>
        <w:gridCol w:w="708"/>
        <w:gridCol w:w="1965"/>
        <w:gridCol w:w="1800"/>
        <w:gridCol w:w="780"/>
        <w:gridCol w:w="765"/>
        <w:gridCol w:w="972"/>
        <w:gridCol w:w="3604"/>
      </w:tblGrid>
      <w:tr>
        <w:tblPrEx>
          <w:tblCellMar>
            <w:top w:w="0" w:type="dxa"/>
            <w:left w:w="108" w:type="dxa"/>
            <w:bottom w:w="0" w:type="dxa"/>
            <w:right w:w="108" w:type="dxa"/>
          </w:tblCellMar>
        </w:tblPrEx>
        <w:trPr>
          <w:trHeight w:val="896"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序号</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材料名称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暂定型号规格</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数量</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单位</w:t>
            </w:r>
            <w:bookmarkStart w:id="41" w:name="_GoBack"/>
            <w:bookmarkEnd w:id="41"/>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单价（元）</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备注</w:t>
            </w:r>
          </w:p>
        </w:tc>
      </w:tr>
      <w:tr>
        <w:tblPrEx>
          <w:tblCellMar>
            <w:top w:w="0" w:type="dxa"/>
            <w:left w:w="108" w:type="dxa"/>
            <w:bottom w:w="0" w:type="dxa"/>
            <w:right w:w="108" w:type="dxa"/>
          </w:tblCellMar>
        </w:tblPrEx>
        <w:trPr>
          <w:trHeight w:val="90"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围挡喷绘</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3m*1.5m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广告喷绘（含八牌二图，不含围挡制作安装）</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角铁架子+喷绘</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2m*0.6m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30角铁+喷绘安装</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3</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施工告示牌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0.8m*1.59m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25方管+广告喷绘</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4</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建筑材料立牌画面</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0.6m*0.4m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个</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tblPrEx>
          <w:tblCellMar>
            <w:top w:w="0" w:type="dxa"/>
            <w:left w:w="108" w:type="dxa"/>
            <w:bottom w:w="0" w:type="dxa"/>
            <w:right w:w="108" w:type="dxa"/>
          </w:tblCellMar>
        </w:tblPrEx>
        <w:trPr>
          <w:trHeight w:val="336"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5</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展板画面</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1.2m*2.4m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户外写真覆膜+光面板</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6</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不锈钢展架</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1.2m*2.4m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个</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tblPrEx>
          <w:tblCellMar>
            <w:top w:w="0" w:type="dxa"/>
            <w:left w:w="108" w:type="dxa"/>
            <w:bottom w:w="0" w:type="dxa"/>
            <w:right w:w="108" w:type="dxa"/>
          </w:tblCellMar>
        </w:tblPrEx>
        <w:trPr>
          <w:trHeight w:val="332"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7</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镀锌板L形边框</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1.6m*1.2m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tblPrEx>
          <w:tblCellMar>
            <w:top w:w="0" w:type="dxa"/>
            <w:left w:w="108" w:type="dxa"/>
            <w:bottom w:w="0" w:type="dxa"/>
            <w:right w:w="108" w:type="dxa"/>
          </w:tblCellMar>
        </w:tblPrEx>
        <w:trPr>
          <w:trHeight w:val="332"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8</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PVC吊牌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1.8m*0.3m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tblPrEx>
          <w:tblCellMar>
            <w:top w:w="0" w:type="dxa"/>
            <w:left w:w="108" w:type="dxa"/>
            <w:bottom w:w="0" w:type="dxa"/>
            <w:right w:w="108" w:type="dxa"/>
          </w:tblCellMar>
        </w:tblPrEx>
        <w:trPr>
          <w:trHeight w:val="1105"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9</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PVC字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60cm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个</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tblPrEx>
          <w:tblCellMar>
            <w:top w:w="0" w:type="dxa"/>
            <w:left w:w="108" w:type="dxa"/>
            <w:bottom w:w="0" w:type="dxa"/>
            <w:right w:w="108" w:type="dxa"/>
          </w:tblCellMar>
        </w:tblPrEx>
        <w:trPr>
          <w:trHeight w:val="39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10</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0.6m*0.8m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 xml:space="preserve"> </w:t>
            </w: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11</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70cm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tblPrEx>
          <w:tblCellMar>
            <w:top w:w="0" w:type="dxa"/>
            <w:left w:w="108" w:type="dxa"/>
            <w:bottom w:w="0" w:type="dxa"/>
            <w:right w:w="108" w:type="dxa"/>
          </w:tblCellMar>
        </w:tblPrEx>
        <w:trPr>
          <w:trHeight w:val="601"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12</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胸牌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10cm*5cm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个</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13</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户外写真覆膜</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14</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default"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15</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16</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17</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白色PVC+uv打印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2mm厚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564"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18</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炫彩PVC+uv打印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19</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Cs w:val="21"/>
                <w:lang w:val="en-US" w:eastAsia="zh-CN"/>
              </w:rPr>
            </w:pPr>
            <w:r>
              <w:rPr>
                <w:rFonts w:hint="eastAsia" w:ascii="仿宋" w:hAnsi="仿宋" w:eastAsia="仿宋" w:cs="仿宋"/>
                <w:bCs/>
                <w:kern w:val="0"/>
                <w:szCs w:val="21"/>
                <w:lang w:val="en-US" w:eastAsia="zh-CN"/>
              </w:rPr>
              <w:t>透明亚克力+uv打印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20</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cs="宋体"/>
                <w:bCs/>
                <w:kern w:val="0"/>
                <w:szCs w:val="21"/>
                <w:lang w:val="en-US" w:eastAsia="zh-CN"/>
              </w:rPr>
            </w:pPr>
            <w:r>
              <w:rPr>
                <w:rFonts w:hint="eastAsia" w:ascii="仿宋" w:hAnsi="仿宋" w:eastAsia="仿宋" w:cs="仿宋"/>
                <w:bCs/>
                <w:kern w:val="0"/>
                <w:szCs w:val="21"/>
                <w:lang w:val="en-US" w:eastAsia="zh-CN"/>
              </w:rPr>
              <w:t>PVC+晶片+uv打印</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cs="宋体"/>
                <w:bCs/>
                <w:kern w:val="0"/>
                <w:szCs w:val="21"/>
                <w:lang w:val="en-US" w:eastAsia="zh-CN"/>
              </w:rPr>
            </w:pPr>
            <w:r>
              <w:rPr>
                <w:rFonts w:hint="eastAsia" w:ascii="仿宋" w:hAnsi="仿宋" w:eastAsia="仿宋" w:cs="仿宋"/>
                <w:bCs/>
                <w:kern w:val="0"/>
                <w:szCs w:val="21"/>
                <w:lang w:val="en-US" w:eastAsia="zh-CN"/>
              </w:rPr>
              <w:t>8.2mm厚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color w:val="C00000"/>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21</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Cm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64"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22</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Cm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23</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Cm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24</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 xml:space="preserve">铁皮吊牌 </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 xml:space="preserve">30cm*180cm*1mm </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i w:val="0"/>
                <w:iCs w:val="0"/>
                <w:color w:val="000000"/>
                <w:kern w:val="0"/>
                <w:sz w:val="22"/>
                <w:szCs w:val="22"/>
                <w:u w:val="none"/>
                <w:lang w:val="en-US" w:eastAsia="zh-CN" w:bidi="ar"/>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left"/>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bCs/>
                <w:kern w:val="0"/>
                <w:szCs w:val="21"/>
                <w:lang w:val="en-US" w:eastAsia="zh-CN"/>
              </w:rPr>
              <w:t>包含安装。若后续甲方要求的实际尺寸与报价尺寸有差异，按面积等比例折算。</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25</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Cm</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tblPrEx>
          <w:tblCellMar>
            <w:top w:w="0" w:type="dxa"/>
            <w:left w:w="108" w:type="dxa"/>
            <w:bottom w:w="0" w:type="dxa"/>
            <w:right w:w="108" w:type="dxa"/>
          </w:tblCellMar>
        </w:tblPrEx>
        <w:trPr>
          <w:trHeight w:val="408" w:hRule="atLeast"/>
        </w:trPr>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26</w:t>
            </w:r>
          </w:p>
        </w:tc>
        <w:tc>
          <w:tcPr>
            <w:tcW w:w="19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center"/>
              <w:rPr>
                <w:rFonts w:hint="eastAsia" w:ascii="宋体" w:hAnsi="宋体" w:eastAsia="宋体" w:cs="宋体"/>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80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15cm*15cm</w:t>
            </w:r>
          </w:p>
        </w:tc>
        <w:tc>
          <w:tcPr>
            <w:tcW w:w="7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1</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r>
              <w:rPr>
                <w:rFonts w:hint="eastAsia" w:ascii="仿宋" w:hAnsi="仿宋" w:eastAsia="仿宋" w:cs="仿宋"/>
                <w:bCs/>
                <w:kern w:val="0"/>
                <w:szCs w:val="21"/>
                <w:lang w:val="en-US" w:eastAsia="zh-CN"/>
              </w:rPr>
              <w:t>块</w:t>
            </w:r>
          </w:p>
        </w:tc>
        <w:tc>
          <w:tcPr>
            <w:tcW w:w="9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36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bl>
    <w:p>
      <w:pPr>
        <w:pStyle w:val="8"/>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注：1、</w:t>
      </w:r>
      <w:r>
        <w:rPr>
          <w:rFonts w:hint="eastAsia" w:ascii="宋体" w:hAnsi="宋体" w:eastAsia="宋体" w:cs="宋体"/>
          <w:color w:val="auto"/>
          <w:kern w:val="2"/>
          <w:sz w:val="24"/>
          <w:szCs w:val="24"/>
          <w:highlight w:val="none"/>
          <w:lang w:val="en-US" w:eastAsia="zh-CN" w:bidi="ar-SA"/>
        </w:rPr>
        <w:t>扫描件（PDF格式）</w:t>
      </w:r>
      <w:r>
        <w:rPr>
          <w:rFonts w:hint="eastAsia" w:ascii="宋体" w:hAnsi="宋体" w:cs="宋体"/>
          <w:color w:val="auto"/>
          <w:kern w:val="2"/>
          <w:sz w:val="24"/>
          <w:szCs w:val="24"/>
          <w:highlight w:val="none"/>
          <w:lang w:val="en-US" w:eastAsia="zh-CN" w:bidi="ar-SA"/>
        </w:rPr>
        <w:t>，需加盖单位公章、签字及填写日期；</w:t>
      </w:r>
    </w:p>
    <w:p>
      <w:pPr>
        <w:pStyle w:val="8"/>
        <w:ind w:firstLine="480" w:firstLineChars="200"/>
        <w:rPr>
          <w:rFonts w:hint="default"/>
          <w:color w:val="auto"/>
          <w:highlight w:val="none"/>
          <w:lang w:val="en-US" w:eastAsia="zh-CN"/>
        </w:rPr>
      </w:pPr>
      <w:r>
        <w:rPr>
          <w:rFonts w:hint="eastAsia" w:ascii="宋体" w:hAnsi="宋体" w:cs="宋体"/>
          <w:color w:val="auto"/>
          <w:kern w:val="2"/>
          <w:sz w:val="24"/>
          <w:szCs w:val="24"/>
          <w:highlight w:val="none"/>
          <w:lang w:val="en-US" w:eastAsia="zh-CN" w:bidi="ar-SA"/>
        </w:rPr>
        <w:t>2、</w:t>
      </w:r>
      <w:r>
        <w:rPr>
          <w:rFonts w:hint="eastAsia" w:ascii="宋体" w:hAnsi="宋体" w:eastAsia="宋体" w:cs="宋体"/>
          <w:color w:val="auto"/>
          <w:kern w:val="2"/>
          <w:sz w:val="24"/>
          <w:szCs w:val="24"/>
          <w:highlight w:val="none"/>
          <w:lang w:val="en-US" w:eastAsia="zh-CN" w:bidi="ar-SA"/>
        </w:rPr>
        <w:t>清单Excel 表格</w:t>
      </w:r>
      <w:r>
        <w:rPr>
          <w:rFonts w:hint="eastAsia" w:ascii="宋体" w:hAnsi="宋体" w:cs="宋体"/>
          <w:color w:val="auto"/>
          <w:kern w:val="2"/>
          <w:sz w:val="24"/>
          <w:szCs w:val="24"/>
          <w:highlight w:val="none"/>
          <w:lang w:val="en-US" w:eastAsia="zh-CN" w:bidi="ar-SA"/>
        </w:rPr>
        <w:t>，只需填写单位名称、日期、</w:t>
      </w: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p>
    <w:p>
      <w:pPr>
        <w:pStyle w:val="4"/>
        <w:jc w:val="center"/>
        <w:rPr>
          <w:rFonts w:hint="eastAsia" w:ascii="宋体" w:hAnsi="宋体" w:cs="宋体"/>
          <w:color w:val="auto"/>
          <w:highlight w:val="none"/>
        </w:rPr>
      </w:pP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商（单位名称）</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pPr>
        <w:spacing w:line="440" w:lineRule="exact"/>
        <w:jc w:val="left"/>
        <w:rPr>
          <w:rFonts w:hint="eastAsia" w:ascii="宋体" w:hAnsi="宋体" w:cs="宋体"/>
          <w:color w:val="auto"/>
          <w:highlight w:val="none"/>
        </w:rPr>
      </w:pPr>
      <w:r>
        <w:rPr>
          <w:rFonts w:hint="eastAsia" w:ascii="宋体" w:hAnsi="宋体" w:cs="宋体"/>
          <w:color w:val="auto"/>
          <w:highlight w:val="none"/>
        </w:rPr>
        <w:t xml:space="preserve">                        </w:t>
      </w:r>
    </w:p>
    <w:p>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pPr>
        <w:spacing w:line="440" w:lineRule="exact"/>
        <w:ind w:firstLine="2520" w:firstLineChars="1200"/>
        <w:jc w:val="center"/>
        <w:rPr>
          <w:rFonts w:hint="eastAsia" w:ascii="宋体" w:hAnsi="宋体" w:cs="宋体"/>
          <w:color w:val="auto"/>
          <w:highlight w:val="none"/>
          <w:u w:val="single"/>
        </w:rPr>
      </w:pPr>
    </w:p>
    <w:p>
      <w:pPr>
        <w:spacing w:line="440" w:lineRule="exact"/>
        <w:ind w:firstLine="2520" w:firstLineChars="1200"/>
        <w:jc w:val="center"/>
        <w:rPr>
          <w:rFonts w:hint="eastAsia"/>
          <w:color w:val="auto"/>
          <w:highlight w:val="none"/>
        </w:rPr>
      </w:pP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both"/>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p>
    <w:p>
      <w:pPr>
        <w:pStyle w:val="4"/>
        <w:jc w:val="center"/>
        <w:rPr>
          <w:rFonts w:hint="eastAsia" w:ascii="宋体" w:hAnsi="宋体" w:cs="宋体"/>
          <w:color w:val="auto"/>
          <w:highlight w:val="none"/>
        </w:rPr>
      </w:pPr>
      <w:r>
        <w:rPr>
          <w:rFonts w:hint="eastAsia" w:ascii="宋体" w:hAnsi="宋体" w:cs="宋体"/>
          <w:color w:val="auto"/>
          <w:highlight w:val="none"/>
        </w:rPr>
        <w:t>二</w:t>
      </w:r>
      <w:bookmarkEnd w:id="11"/>
      <w:bookmarkEnd w:id="12"/>
      <w:bookmarkEnd w:id="13"/>
      <w:bookmarkEnd w:id="14"/>
      <w:bookmarkEnd w:id="15"/>
      <w:bookmarkEnd w:id="16"/>
      <w:bookmarkEnd w:id="17"/>
      <w:bookmarkEnd w:id="18"/>
      <w:bookmarkEnd w:id="19"/>
      <w:bookmarkEnd w:id="20"/>
      <w:bookmarkEnd w:id="21"/>
      <w:r>
        <w:rPr>
          <w:rFonts w:hint="eastAsia" w:ascii="宋体" w:hAnsi="宋体" w:cs="宋体"/>
          <w:color w:val="auto"/>
          <w:highlight w:val="none"/>
        </w:rPr>
        <w:t>、法定代表人身份证明或</w:t>
      </w:r>
      <w:r>
        <w:rPr>
          <w:rFonts w:hint="eastAsia" w:ascii="宋体" w:hAnsi="宋体" w:cs="宋体"/>
          <w:color w:val="auto"/>
          <w:highlight w:val="none"/>
          <w:lang w:eastAsia="zh-CN"/>
        </w:rPr>
        <w:t>附有</w:t>
      </w:r>
      <w:r>
        <w:rPr>
          <w:rFonts w:hint="eastAsia" w:ascii="宋体" w:hAnsi="宋体" w:cs="宋体"/>
          <w:color w:val="auto"/>
          <w:highlight w:val="none"/>
        </w:rPr>
        <w:t>法定代表人身份证明</w:t>
      </w:r>
      <w:r>
        <w:rPr>
          <w:rFonts w:hint="eastAsia" w:ascii="宋体" w:hAnsi="宋体" w:cs="宋体"/>
          <w:color w:val="auto"/>
          <w:highlight w:val="none"/>
          <w:lang w:eastAsia="zh-CN"/>
        </w:rPr>
        <w:t>的</w:t>
      </w:r>
      <w:r>
        <w:rPr>
          <w:rFonts w:hint="eastAsia" w:ascii="宋体" w:hAnsi="宋体" w:cs="宋体"/>
          <w:color w:val="auto"/>
          <w:highlight w:val="none"/>
        </w:rPr>
        <w:t>授权委托书</w:t>
      </w:r>
    </w:p>
    <w:p>
      <w:pPr>
        <w:pStyle w:val="4"/>
        <w:jc w:val="center"/>
        <w:rPr>
          <w:rFonts w:hint="eastAsia" w:ascii="宋体" w:hAnsi="宋体" w:cs="宋体"/>
          <w:color w:val="auto"/>
          <w:sz w:val="28"/>
          <w:szCs w:val="28"/>
          <w:highlight w:val="none"/>
        </w:rPr>
      </w:pPr>
      <w:r>
        <w:rPr>
          <w:rFonts w:hint="eastAsia" w:ascii="宋体" w:hAnsi="宋体" w:cs="宋体"/>
          <w:color w:val="auto"/>
          <w:sz w:val="28"/>
          <w:szCs w:val="28"/>
          <w:highlight w:val="none"/>
        </w:rPr>
        <w:t>（一）法定代表人身份证明</w:t>
      </w:r>
      <w:bookmarkEnd w:id="22"/>
    </w:p>
    <w:p>
      <w:pPr>
        <w:spacing w:line="440" w:lineRule="exact"/>
        <w:rPr>
          <w:rFonts w:hint="eastAsia" w:ascii="宋体" w:hAnsi="宋体" w:cs="宋体"/>
          <w:color w:val="auto"/>
          <w:sz w:val="20"/>
          <w:highlight w:val="none"/>
        </w:rPr>
      </w:pPr>
    </w:p>
    <w:p>
      <w:pPr>
        <w:spacing w:line="440" w:lineRule="exact"/>
        <w:rPr>
          <w:rFonts w:hint="eastAsia" w:ascii="宋体" w:hAnsi="宋体" w:cs="宋体"/>
          <w:color w:val="auto"/>
          <w:highlight w:val="none"/>
          <w:u w:val="single"/>
        </w:rPr>
      </w:pPr>
      <w:r>
        <w:rPr>
          <w:rFonts w:hint="eastAsia" w:ascii="宋体" w:hAnsi="宋体" w:cs="宋体"/>
          <w:color w:val="auto"/>
          <w:highlight w:val="none"/>
          <w:lang w:eastAsia="zh-CN"/>
        </w:rPr>
        <w:t>供应商</w:t>
      </w:r>
      <w:r>
        <w:rPr>
          <w:rFonts w:hint="eastAsia" w:ascii="宋体" w:hAnsi="宋体" w:cs="宋体"/>
          <w:color w:val="auto"/>
          <w:highlight w:val="none"/>
        </w:rPr>
        <w:t>名称：</w:t>
      </w:r>
      <w:r>
        <w:rPr>
          <w:rFonts w:hint="eastAsia" w:ascii="宋体" w:hAnsi="宋体" w:cs="宋体"/>
          <w:color w:val="auto"/>
          <w:highlight w:val="none"/>
          <w:u w:val="single"/>
        </w:rPr>
        <w:t xml:space="preserve">         （ 单位名称） </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姓名：</w:t>
      </w:r>
      <w:r>
        <w:rPr>
          <w:rFonts w:hint="eastAsia" w:ascii="宋体" w:hAnsi="宋体" w:cs="宋体"/>
          <w:color w:val="auto"/>
          <w:highlight w:val="none"/>
          <w:u w:val="single"/>
        </w:rPr>
        <w:t xml:space="preserve">          </w:t>
      </w:r>
      <w:r>
        <w:rPr>
          <w:rFonts w:hint="eastAsia" w:ascii="宋体" w:hAnsi="宋体" w:cs="宋体"/>
          <w:color w:val="auto"/>
          <w:highlight w:val="none"/>
        </w:rPr>
        <w:t>性别：</w:t>
      </w:r>
      <w:bookmarkStart w:id="23" w:name="_Toc369531698"/>
      <w:bookmarkStart w:id="24" w:name="_Toc27897"/>
      <w:bookmarkStart w:id="25" w:name="_Toc352691662"/>
      <w:r>
        <w:rPr>
          <w:rFonts w:hint="eastAsia" w:ascii="宋体" w:hAnsi="宋体" w:cs="宋体"/>
          <w:color w:val="auto"/>
          <w:highlight w:val="none"/>
          <w:u w:val="single"/>
        </w:rPr>
        <w:t xml:space="preserve">        </w:t>
      </w:r>
      <w:r>
        <w:rPr>
          <w:rFonts w:hint="eastAsia" w:ascii="宋体" w:hAnsi="宋体" w:cs="宋体"/>
          <w:color w:val="auto"/>
          <w:highlight w:val="none"/>
        </w:rPr>
        <w:t>年</w:t>
      </w:r>
      <w:bookmarkEnd w:id="23"/>
      <w:bookmarkEnd w:id="24"/>
      <w:bookmarkEnd w:id="25"/>
      <w:r>
        <w:rPr>
          <w:rFonts w:hint="eastAsia" w:ascii="宋体" w:hAnsi="宋体" w:cs="宋体"/>
          <w:color w:val="auto"/>
          <w:highlight w:val="none"/>
        </w:rPr>
        <w:t>龄</w:t>
      </w:r>
      <w:bookmarkStart w:id="26" w:name="_Toc152045789"/>
      <w:bookmarkStart w:id="27" w:name="_Toc247527829"/>
      <w:bookmarkStart w:id="28" w:name="_Toc384308377"/>
      <w:bookmarkStart w:id="29" w:name="_Toc247514248"/>
      <w:bookmarkStart w:id="30" w:name="_Toc361508754"/>
      <w:bookmarkStart w:id="31" w:name="_Toc15573"/>
      <w:bookmarkStart w:id="32" w:name="_Toc300835211"/>
      <w:bookmarkStart w:id="33" w:name="_Toc152042578"/>
      <w:bookmarkStart w:id="34" w:name="_Toc352691663"/>
      <w:bookmarkStart w:id="35" w:name="_Toc369531699"/>
      <w:bookmarkStart w:id="36" w:name="_Toc144974858"/>
      <w:r>
        <w:rPr>
          <w:rFonts w:hint="eastAsia" w:ascii="宋体" w:hAnsi="宋体" w:cs="宋体"/>
          <w:color w:val="auto"/>
          <w:highlight w:val="none"/>
        </w:rPr>
        <w:t>：</w:t>
      </w:r>
      <w:bookmarkEnd w:id="26"/>
      <w:bookmarkEnd w:id="27"/>
      <w:bookmarkEnd w:id="28"/>
      <w:bookmarkEnd w:id="29"/>
      <w:bookmarkEnd w:id="30"/>
      <w:bookmarkEnd w:id="31"/>
      <w:bookmarkEnd w:id="32"/>
      <w:bookmarkEnd w:id="33"/>
      <w:bookmarkEnd w:id="34"/>
      <w:bookmarkEnd w:id="35"/>
      <w:bookmarkEnd w:id="36"/>
      <w:r>
        <w:rPr>
          <w:rFonts w:hint="eastAsia" w:ascii="宋体" w:hAnsi="宋体" w:cs="宋体"/>
          <w:color w:val="auto"/>
          <w:highlight w:val="none"/>
          <w:u w:val="single"/>
        </w:rPr>
        <w:t xml:space="preserve">        </w:t>
      </w:r>
      <w:r>
        <w:rPr>
          <w:rFonts w:hint="eastAsia" w:ascii="宋体" w:hAnsi="宋体" w:cs="宋体"/>
          <w:color w:val="auto"/>
          <w:highlight w:val="none"/>
        </w:rPr>
        <w:t>职务：</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rPr>
        <w:t>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特此证明。</w:t>
      </w:r>
    </w:p>
    <w:p>
      <w:pPr>
        <w:spacing w:line="440" w:lineRule="exact"/>
        <w:rPr>
          <w:rFonts w:hint="eastAsia" w:ascii="宋体" w:hAnsi="宋体" w:cs="宋体"/>
          <w:color w:val="auto"/>
          <w:highlight w:val="none"/>
        </w:r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7" w:hRule="atLeast"/>
        </w:trPr>
        <w:tc>
          <w:tcPr>
            <w:tcW w:w="9820" w:type="dxa"/>
            <w:vAlign w:val="center"/>
          </w:tcPr>
          <w:p>
            <w:pPr>
              <w:tabs>
                <w:tab w:val="left" w:pos="142"/>
              </w:tabs>
              <w:jc w:val="center"/>
              <w:rPr>
                <w:rFonts w:hint="eastAsia" w:ascii="宋体" w:hAnsi="宋体"/>
                <w:color w:val="auto"/>
                <w:sz w:val="30"/>
                <w:szCs w:val="30"/>
                <w:highlight w:val="none"/>
                <w:vertAlign w:val="baseline"/>
              </w:rPr>
            </w:pPr>
            <w:r>
              <w:rPr>
                <w:rFonts w:hint="eastAsia" w:ascii="宋体" w:hAnsi="宋体"/>
                <w:color w:val="auto"/>
                <w:sz w:val="24"/>
                <w:szCs w:val="24"/>
                <w:highlight w:val="none"/>
              </w:rPr>
              <w:t>（该处粘贴法定代表人身份证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tc>
      </w:tr>
    </w:tbl>
    <w:p>
      <w:pPr>
        <w:spacing w:line="440" w:lineRule="exact"/>
        <w:jc w:val="center"/>
        <w:rPr>
          <w:rFonts w:hint="eastAsia" w:ascii="宋体" w:hAnsi="宋体" w:cs="宋体"/>
          <w:color w:val="auto"/>
          <w:highlight w:val="none"/>
        </w:rPr>
      </w:pPr>
      <w:r>
        <w:rPr>
          <w:rFonts w:hint="eastAsia" w:ascii="宋体" w:hAnsi="宋体" w:cs="宋体"/>
          <w:color w:val="auto"/>
          <w:highlight w:val="none"/>
          <w:lang w:val="en-US" w:eastAsia="zh-CN"/>
        </w:rPr>
        <w:t xml:space="preserve">                    </w:t>
      </w:r>
      <w:r>
        <w:rPr>
          <w:rFonts w:hint="eastAsia" w:ascii="宋体" w:hAnsi="宋体" w:cs="宋体"/>
          <w:color w:val="auto"/>
          <w:highlight w:val="none"/>
        </w:rPr>
        <w:t xml:space="preserve"> </w:t>
      </w:r>
      <w:r>
        <w:rPr>
          <w:rFonts w:hint="eastAsia" w:ascii="宋体" w:hAnsi="宋体" w:cs="宋体"/>
          <w:color w:val="auto"/>
          <w:highlight w:val="none"/>
          <w:lang w:eastAsia="zh-CN"/>
        </w:rPr>
        <w:t>供应商</w:t>
      </w:r>
      <w:r>
        <w:rPr>
          <w:rFonts w:hint="eastAsia" w:ascii="宋体" w:hAnsi="宋体" w:cs="宋体"/>
          <w:color w:val="auto"/>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pPr>
        <w:spacing w:line="440" w:lineRule="exact"/>
        <w:rPr>
          <w:rFonts w:hint="eastAsia" w:ascii="宋体" w:hAnsi="宋体" w:cs="宋体"/>
          <w:color w:val="auto"/>
          <w:highlight w:val="none"/>
        </w:rPr>
      </w:pPr>
    </w:p>
    <w:p>
      <w:pPr>
        <w:spacing w:line="440" w:lineRule="exact"/>
        <w:ind w:firstLine="4620" w:firstLineChars="2200"/>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pPr>
        <w:pStyle w:val="5"/>
        <w:ind w:firstLine="157"/>
        <w:rPr>
          <w:rFonts w:hint="eastAsia"/>
          <w:color w:val="auto"/>
          <w:highlight w:val="none"/>
        </w:rPr>
      </w:pPr>
    </w:p>
    <w:p>
      <w:pPr>
        <w:spacing w:line="440" w:lineRule="exact"/>
        <w:rPr>
          <w:rFonts w:hint="eastAsia" w:ascii="宋体" w:hAnsi="宋体" w:cs="宋体"/>
          <w:color w:val="auto"/>
          <w:highlight w:val="none"/>
        </w:rPr>
      </w:pPr>
      <w:r>
        <w:rPr>
          <w:rFonts w:hint="eastAsia" w:ascii="宋体" w:hAnsi="宋体" w:cs="宋体"/>
          <w:color w:val="auto"/>
          <w:highlight w:val="none"/>
        </w:rPr>
        <w:t>注：本身份证明需由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w:t>
      </w:r>
    </w:p>
    <w:p>
      <w:pPr>
        <w:spacing w:line="440" w:lineRule="exact"/>
        <w:rPr>
          <w:rFonts w:hint="eastAsia" w:ascii="宋体" w:hAnsi="宋体" w:cs="宋体"/>
          <w:color w:val="auto"/>
          <w:sz w:val="20"/>
          <w:highlight w:val="none"/>
        </w:rPr>
      </w:pPr>
    </w:p>
    <w:p>
      <w:pPr>
        <w:pStyle w:val="4"/>
        <w:jc w:val="center"/>
        <w:rPr>
          <w:rFonts w:hint="eastAsia" w:ascii="宋体" w:hAnsi="宋体" w:cs="宋体"/>
          <w:color w:val="auto"/>
          <w:sz w:val="28"/>
          <w:szCs w:val="28"/>
          <w:highlight w:val="none"/>
        </w:rPr>
      </w:pPr>
      <w:r>
        <w:rPr>
          <w:rFonts w:hint="eastAsia" w:ascii="宋体" w:hAnsi="宋体" w:cs="宋体"/>
          <w:color w:val="auto"/>
          <w:sz w:val="20"/>
          <w:highlight w:val="none"/>
        </w:rPr>
        <w:br w:type="page"/>
      </w:r>
      <w:bookmarkStart w:id="37" w:name="_Toc491883233"/>
      <w:r>
        <w:rPr>
          <w:rFonts w:hint="eastAsia" w:ascii="宋体" w:hAnsi="宋体" w:cs="宋体"/>
          <w:color w:val="auto"/>
          <w:sz w:val="28"/>
          <w:szCs w:val="28"/>
          <w:highlight w:val="none"/>
        </w:rPr>
        <w:t>（二）</w:t>
      </w:r>
      <w:bookmarkEnd w:id="37"/>
      <w:r>
        <w:rPr>
          <w:rFonts w:hint="eastAsia" w:ascii="宋体" w:hAnsi="宋体" w:cs="宋体"/>
          <w:color w:val="auto"/>
          <w:sz w:val="28"/>
          <w:szCs w:val="28"/>
          <w:highlight w:val="none"/>
        </w:rPr>
        <w:t>法定代表人授权委托书</w:t>
      </w:r>
    </w:p>
    <w:p>
      <w:pPr>
        <w:topLinePunct/>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本人</w:t>
      </w:r>
      <w:r>
        <w:rPr>
          <w:rFonts w:hint="eastAsia" w:ascii="宋体" w:hAnsi="宋体" w:cs="宋体"/>
          <w:color w:val="auto"/>
          <w:highlight w:val="none"/>
          <w:u w:val="single"/>
        </w:rPr>
        <w:t xml:space="preserve">      </w:t>
      </w:r>
      <w:r>
        <w:rPr>
          <w:rFonts w:hint="eastAsia" w:ascii="宋体" w:hAnsi="宋体" w:cs="宋体"/>
          <w:color w:val="auto"/>
          <w:highlight w:val="none"/>
        </w:rPr>
        <w:t>（姓名）系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名称）的法定代表人，现委托</w:t>
      </w:r>
      <w:r>
        <w:rPr>
          <w:rFonts w:hint="eastAsia" w:ascii="宋体" w:hAnsi="宋体" w:cs="宋体"/>
          <w:color w:val="auto"/>
          <w:highlight w:val="none"/>
          <w:u w:val="single"/>
        </w:rPr>
        <w:t xml:space="preserve">            </w:t>
      </w:r>
      <w:r>
        <w:rPr>
          <w:rFonts w:hint="eastAsia" w:ascii="宋体" w:hAnsi="宋体" w:cs="宋体"/>
          <w:color w:val="auto"/>
          <w:highlight w:val="none"/>
        </w:rPr>
        <w:t>（姓名）为我方代理人。代理人根据授权，以我方名义签署、澄清确认、递交、撤回、修改</w:t>
      </w:r>
      <w:r>
        <w:rPr>
          <w:rFonts w:hint="eastAsia" w:ascii="宋体" w:hAnsi="宋体" w:cs="宋体"/>
          <w:color w:val="auto"/>
          <w:highlight w:val="none"/>
          <w:u w:val="single"/>
          <w:lang w:val="en-US" w:eastAsia="zh-CN"/>
        </w:rPr>
        <w:t xml:space="preserve">               </w:t>
      </w:r>
      <w:r>
        <w:rPr>
          <w:rFonts w:hint="eastAsia" w:ascii="宋体" w:hAnsi="宋体" w:cs="宋体"/>
          <w:color w:val="auto"/>
          <w:highlight w:val="none"/>
        </w:rPr>
        <w:t>（项目名称）</w:t>
      </w:r>
      <w:r>
        <w:rPr>
          <w:rFonts w:hint="eastAsia" w:ascii="宋体" w:hAnsi="宋体" w:cs="宋体"/>
          <w:color w:val="auto"/>
          <w:highlight w:val="none"/>
          <w:lang w:eastAsia="zh-CN"/>
        </w:rPr>
        <w:t>采购</w:t>
      </w:r>
      <w:r>
        <w:rPr>
          <w:rFonts w:hint="eastAsia" w:ascii="宋体" w:hAnsi="宋体" w:cs="宋体"/>
          <w:color w:val="auto"/>
          <w:highlight w:val="none"/>
        </w:rPr>
        <w:t>项目</w:t>
      </w:r>
      <w:r>
        <w:rPr>
          <w:rFonts w:hint="eastAsia" w:ascii="宋体" w:hAnsi="宋体" w:cs="宋体"/>
          <w:color w:val="auto"/>
          <w:highlight w:val="none"/>
          <w:lang w:eastAsia="zh-CN"/>
        </w:rPr>
        <w:t>响应文件</w:t>
      </w:r>
      <w:r>
        <w:rPr>
          <w:rFonts w:hint="eastAsia" w:ascii="宋体" w:hAnsi="宋体" w:cs="宋体"/>
          <w:color w:val="auto"/>
          <w:highlight w:val="none"/>
        </w:rPr>
        <w:t>、签订合同和处理有关事宜，其法律后果由我方承担。</w:t>
      </w:r>
    </w:p>
    <w:p>
      <w:pPr>
        <w:spacing w:line="440" w:lineRule="exact"/>
        <w:rPr>
          <w:rFonts w:hint="eastAsia" w:ascii="宋体" w:hAnsi="宋体" w:cs="宋体"/>
          <w:color w:val="auto"/>
          <w:highlight w:val="none"/>
        </w:rPr>
      </w:pPr>
      <w:r>
        <w:rPr>
          <w:rFonts w:hint="eastAsia" w:ascii="宋体" w:hAnsi="宋体" w:cs="宋体"/>
          <w:color w:val="auto"/>
          <w:highlight w:val="none"/>
        </w:rPr>
        <w:t>委托期限：</w:t>
      </w:r>
      <w:r>
        <w:rPr>
          <w:rFonts w:hint="eastAsia" w:ascii="宋体" w:hAnsi="宋体" w:cs="宋体"/>
          <w:color w:val="auto"/>
          <w:highlight w:val="none"/>
          <w:u w:val="single"/>
        </w:rPr>
        <w:t xml:space="preserve">                       </w:t>
      </w:r>
      <w:r>
        <w:rPr>
          <w:rFonts w:hint="eastAsia" w:ascii="宋体" w:hAnsi="宋体" w:cs="宋体"/>
          <w:color w:val="auto"/>
          <w:highlight w:val="none"/>
        </w:rPr>
        <w:t>。</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代理人无转委托权。</w:t>
      </w:r>
    </w:p>
    <w:p>
      <w:pPr>
        <w:spacing w:line="440" w:lineRule="exact"/>
        <w:ind w:firstLine="420" w:firstLineChars="200"/>
        <w:rPr>
          <w:rFonts w:hint="eastAsia" w:ascii="宋体" w:hAnsi="宋体" w:cs="宋体"/>
          <w:color w:val="auto"/>
          <w:highlight w:val="none"/>
        </w:rPr>
      </w:pPr>
    </w:p>
    <w:tbl>
      <w:tblPr>
        <w:tblStyle w:val="17"/>
        <w:tblW w:w="9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0"/>
        <w:gridCol w:w="5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5" w:hRule="atLeast"/>
        </w:trPr>
        <w:tc>
          <w:tcPr>
            <w:tcW w:w="4860" w:type="dxa"/>
            <w:vAlign w:val="center"/>
          </w:tcPr>
          <w:p>
            <w:pPr>
              <w:jc w:val="center"/>
              <w:rPr>
                <w:rFonts w:hint="eastAsia" w:ascii="宋体" w:hAnsi="宋体"/>
                <w:color w:val="auto"/>
                <w:sz w:val="24"/>
                <w:szCs w:val="24"/>
                <w:highlight w:val="none"/>
                <w:vertAlign w:val="baseline"/>
              </w:rPr>
            </w:pPr>
            <w:r>
              <w:rPr>
                <w:rFonts w:hint="eastAsia" w:ascii="宋体" w:hAnsi="宋体"/>
                <w:color w:val="auto"/>
                <w:sz w:val="24"/>
                <w:szCs w:val="24"/>
                <w:highlight w:val="none"/>
              </w:rPr>
              <w:t>（该处粘贴委托人身份证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r>
              <w:rPr>
                <w:rFonts w:hint="eastAsia" w:ascii="宋体" w:hAnsi="宋体"/>
                <w:color w:val="auto"/>
                <w:sz w:val="24"/>
                <w:szCs w:val="24"/>
                <w:highlight w:val="none"/>
                <w:lang w:eastAsia="zh-CN"/>
              </w:rPr>
              <w:t>）</w:t>
            </w:r>
          </w:p>
        </w:tc>
        <w:tc>
          <w:tcPr>
            <w:tcW w:w="5039" w:type="dxa"/>
            <w:vAlign w:val="center"/>
          </w:tcPr>
          <w:p>
            <w:pPr>
              <w:ind w:left="6000" w:hanging="4800" w:hangingChars="2000"/>
              <w:jc w:val="center"/>
              <w:rPr>
                <w:rFonts w:hint="eastAsia" w:ascii="宋体" w:hAnsi="宋体"/>
                <w:color w:val="auto"/>
                <w:sz w:val="24"/>
                <w:szCs w:val="24"/>
                <w:highlight w:val="none"/>
              </w:rPr>
            </w:pPr>
            <w:r>
              <w:rPr>
                <w:rFonts w:hint="eastAsia" w:ascii="宋体" w:hAnsi="宋体"/>
                <w:color w:val="auto"/>
                <w:sz w:val="24"/>
                <w:szCs w:val="24"/>
                <w:highlight w:val="none"/>
              </w:rPr>
              <w:t>（该处粘贴代理人身份证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p>
            <w:pPr>
              <w:jc w:val="center"/>
              <w:rPr>
                <w:rFonts w:hint="eastAsia" w:ascii="宋体" w:hAnsi="宋体"/>
                <w:color w:val="auto"/>
                <w:sz w:val="24"/>
                <w:szCs w:val="24"/>
                <w:highlight w:val="none"/>
                <w:vertAlign w:val="baseline"/>
              </w:rPr>
            </w:pPr>
          </w:p>
        </w:tc>
      </w:tr>
    </w:tbl>
    <w:p>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lang w:val="en-US" w:eastAsia="zh-CN"/>
        </w:rPr>
        <w:t>供  应  商</w:t>
      </w:r>
      <w:r>
        <w:rPr>
          <w:rFonts w:hint="eastAsia" w:ascii="宋体" w:hAnsi="宋体" w:cs="宋体"/>
          <w:color w:val="auto"/>
          <w:highlight w:val="none"/>
        </w:rPr>
        <w:t>：</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pPr>
        <w:spacing w:line="440" w:lineRule="exact"/>
        <w:ind w:firstLine="2690" w:firstLineChars="1281"/>
        <w:jc w:val="left"/>
        <w:rPr>
          <w:rFonts w:hint="eastAsia" w:ascii="宋体" w:hAnsi="宋体" w:cs="宋体"/>
          <w:color w:val="auto"/>
          <w:highlight w:val="none"/>
        </w:rPr>
      </w:pPr>
      <w:r>
        <w:rPr>
          <w:rFonts w:hint="eastAsia" w:ascii="宋体" w:hAnsi="宋体" w:cs="宋体"/>
          <w:color w:val="auto"/>
          <w:highlight w:val="none"/>
        </w:rPr>
        <w:t>法定代表人：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（签字）</w:t>
      </w:r>
    </w:p>
    <w:p>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委托代理人：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highlight w:val="none"/>
        </w:rPr>
        <w:t>（签字）</w:t>
      </w:r>
    </w:p>
    <w:p>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pPr>
        <w:spacing w:line="440" w:lineRule="exact"/>
        <w:ind w:firstLine="2692" w:firstLineChars="1282"/>
        <w:rPr>
          <w:rFonts w:hint="eastAsia" w:ascii="宋体" w:hAnsi="宋体" w:cs="宋体"/>
          <w:color w:val="auto"/>
          <w:highlight w:val="none"/>
        </w:rPr>
      </w:pPr>
    </w:p>
    <w:p>
      <w:pPr>
        <w:spacing w:line="44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pPr>
        <w:spacing w:line="440" w:lineRule="exact"/>
        <w:rPr>
          <w:rFonts w:hint="eastAsia" w:ascii="宋体" w:hAnsi="宋体" w:cs="宋体"/>
          <w:color w:val="auto"/>
          <w:highlight w:val="none"/>
        </w:rPr>
      </w:pPr>
    </w:p>
    <w:p>
      <w:pPr>
        <w:spacing w:line="440" w:lineRule="exact"/>
        <w:rPr>
          <w:rFonts w:hint="eastAsia" w:ascii="宋体" w:hAnsi="宋体" w:cs="宋体"/>
          <w:color w:val="auto"/>
          <w:highlight w:val="none"/>
        </w:rPr>
      </w:pPr>
      <w:r>
        <w:rPr>
          <w:rFonts w:hint="eastAsia" w:ascii="宋体" w:hAnsi="宋体" w:cs="宋体"/>
          <w:color w:val="auto"/>
          <w:highlight w:val="none"/>
        </w:rPr>
        <w:t>注：</w:t>
      </w:r>
      <w:r>
        <w:rPr>
          <w:rFonts w:hint="eastAsia" w:ascii="宋体" w:hAnsi="宋体" w:cs="宋体"/>
          <w:color w:val="auto"/>
          <w:highlight w:val="none"/>
          <w:lang w:eastAsia="zh-CN"/>
        </w:rPr>
        <w:t>法定代表人参与采购的可不提供本授权委托书，</w:t>
      </w:r>
      <w:r>
        <w:rPr>
          <w:rFonts w:hint="eastAsia" w:ascii="宋体" w:hAnsi="宋体" w:cs="宋体"/>
          <w:color w:val="auto"/>
          <w:highlight w:val="none"/>
          <w:lang w:val="en-US" w:eastAsia="zh-CN"/>
        </w:rPr>
        <w:t>仅提供</w:t>
      </w:r>
      <w:r>
        <w:rPr>
          <w:rFonts w:hint="eastAsia" w:ascii="宋体" w:hAnsi="宋体" w:cs="宋体"/>
          <w:color w:val="auto"/>
          <w:highlight w:val="none"/>
          <w:lang w:eastAsia="zh-CN"/>
        </w:rPr>
        <w:t>法定代表人身份证明；委托代理人参与的，须同时提供法定代表人身份证明及本授权委托书，</w:t>
      </w:r>
      <w:r>
        <w:rPr>
          <w:rFonts w:hint="eastAsia" w:ascii="宋体" w:hAnsi="宋体" w:cs="宋体"/>
          <w:color w:val="auto"/>
          <w:highlight w:val="none"/>
        </w:rPr>
        <w:t>本授权委托书需由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加盖单位公章并由其法定代表人和委托代理人签字。</w:t>
      </w:r>
    </w:p>
    <w:p>
      <w:pPr>
        <w:spacing w:line="2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rPr>
        <w:br w:type="page"/>
      </w:r>
    </w:p>
    <w:p>
      <w:pPr>
        <w:pStyle w:val="4"/>
        <w:spacing w:before="20" w:after="0"/>
        <w:jc w:val="center"/>
        <w:rPr>
          <w:rFonts w:hint="eastAsia" w:ascii="宋体" w:hAnsi="宋体" w:eastAsia="仿宋_GB2312" w:cs="宋体"/>
          <w:color w:val="auto"/>
          <w:highlight w:val="none"/>
          <w:lang w:eastAsia="zh-CN"/>
        </w:rPr>
      </w:pPr>
      <w:bookmarkStart w:id="38" w:name="_Toc491883235"/>
      <w:r>
        <w:rPr>
          <w:rFonts w:hint="eastAsia" w:ascii="宋体" w:hAnsi="宋体" w:cs="宋体"/>
          <w:color w:val="auto"/>
          <w:highlight w:val="none"/>
        </w:rPr>
        <w:t>三、</w:t>
      </w:r>
      <w:bookmarkEnd w:id="38"/>
      <w:bookmarkStart w:id="39" w:name="_Toc491883239"/>
      <w:bookmarkStart w:id="40" w:name="_Toc361508760"/>
      <w:r>
        <w:rPr>
          <w:rFonts w:hint="eastAsia" w:ascii="宋体" w:hAnsi="宋体" w:cs="宋体"/>
          <w:color w:val="auto"/>
          <w:highlight w:val="none"/>
        </w:rPr>
        <w:t>供应商资格条件</w:t>
      </w:r>
      <w:r>
        <w:rPr>
          <w:rFonts w:hint="eastAsia" w:ascii="宋体" w:hAnsi="宋体" w:cs="宋体"/>
          <w:color w:val="auto"/>
          <w:highlight w:val="none"/>
          <w:lang w:eastAsia="zh-CN"/>
        </w:rPr>
        <w:t>证明资料</w:t>
      </w:r>
    </w:p>
    <w:bookmarkEnd w:id="39"/>
    <w:bookmarkEnd w:id="40"/>
    <w:p>
      <w:pPr>
        <w:pStyle w:val="2"/>
        <w:rPr>
          <w:rFonts w:hint="eastAsia" w:ascii="宋体" w:hAnsi="宋体" w:cs="宋体"/>
          <w:color w:val="auto"/>
          <w:sz w:val="24"/>
          <w:szCs w:val="18"/>
          <w:highlight w:val="none"/>
          <w:lang w:eastAsia="zh-CN"/>
        </w:rPr>
      </w:pPr>
      <w:r>
        <w:rPr>
          <w:rFonts w:hint="eastAsia" w:ascii="宋体" w:hAnsi="宋体" w:cs="宋体"/>
          <w:color w:val="auto"/>
          <w:sz w:val="24"/>
          <w:szCs w:val="18"/>
          <w:highlight w:val="none"/>
          <w:lang w:val="en-US" w:eastAsia="zh-CN"/>
        </w:rPr>
        <w:t xml:space="preserve"> </w:t>
      </w:r>
      <w:r>
        <w:rPr>
          <w:rFonts w:hint="eastAsia" w:ascii="宋体" w:hAnsi="宋体" w:cs="宋体"/>
          <w:color w:val="auto"/>
          <w:sz w:val="24"/>
          <w:szCs w:val="18"/>
          <w:highlight w:val="none"/>
          <w:lang w:eastAsia="zh-CN"/>
        </w:rPr>
        <w:t>按照供应商须</w:t>
      </w:r>
      <w:r>
        <w:rPr>
          <w:rFonts w:hint="eastAsia" w:ascii="宋体" w:cs="宋体"/>
          <w:color w:val="auto"/>
          <w:sz w:val="24"/>
          <w:szCs w:val="18"/>
          <w:highlight w:val="none"/>
          <w:lang w:eastAsia="zh-CN"/>
        </w:rPr>
        <w:t>第</w:t>
      </w:r>
      <w:r>
        <w:rPr>
          <w:rFonts w:hint="eastAsia" w:ascii="宋体" w:cs="宋体"/>
          <w:color w:val="auto"/>
          <w:sz w:val="24"/>
          <w:szCs w:val="18"/>
          <w:highlight w:val="none"/>
          <w:lang w:val="en-US" w:eastAsia="zh-CN"/>
        </w:rPr>
        <w:t>14条</w:t>
      </w:r>
      <w:r>
        <w:rPr>
          <w:rFonts w:hint="eastAsia" w:ascii="宋体" w:hAnsi="宋体" w:cs="宋体"/>
          <w:color w:val="auto"/>
          <w:sz w:val="24"/>
          <w:szCs w:val="18"/>
          <w:highlight w:val="none"/>
          <w:lang w:val="en-US" w:eastAsia="zh-CN"/>
        </w:rPr>
        <w:t>的要求</w:t>
      </w:r>
      <w:r>
        <w:rPr>
          <w:rFonts w:hint="eastAsia" w:ascii="宋体" w:hAnsi="宋体" w:cs="宋体"/>
          <w:color w:val="auto"/>
          <w:sz w:val="24"/>
          <w:szCs w:val="18"/>
          <w:highlight w:val="none"/>
          <w:lang w:eastAsia="zh-CN"/>
        </w:rPr>
        <w:t>提供。</w:t>
      </w:r>
    </w:p>
    <w:p>
      <w:pPr>
        <w:adjustRightInd w:val="0"/>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（一）营业执照</w:t>
      </w:r>
      <w:r>
        <w:rPr>
          <w:rFonts w:hint="eastAsia"/>
        </w:rPr>
        <w:t>（复印件加盖鲜章）</w:t>
      </w:r>
    </w:p>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（二）实体经营场所（提供含门头的场所照片）；</w:t>
      </w: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cs="宋体"/>
          <w:color w:val="auto"/>
          <w:sz w:val="24"/>
          <w:szCs w:val="18"/>
          <w:highlight w:val="none"/>
          <w:lang w:val="en-US" w:eastAsia="zh-CN"/>
        </w:rPr>
      </w:pPr>
    </w:p>
    <w:p>
      <w:pPr>
        <w:pStyle w:val="2"/>
        <w:rPr>
          <w:rFonts w:hint="eastAsia" w:ascii="宋体" w:hAnsi="宋体" w:cs="宋体"/>
          <w:color w:val="auto"/>
          <w:highlight w:val="none"/>
          <w:lang w:val="en-US" w:eastAsia="zh-CN"/>
        </w:rPr>
      </w:pPr>
      <w:r>
        <w:rPr>
          <w:rFonts w:hint="eastAsia" w:ascii="宋体" w:cs="宋体"/>
          <w:color w:val="auto"/>
          <w:sz w:val="24"/>
          <w:szCs w:val="18"/>
          <w:highlight w:val="none"/>
          <w:lang w:val="en-US" w:eastAsia="zh-CN"/>
        </w:rPr>
        <w:t>四、</w:t>
      </w:r>
      <w:r>
        <w:rPr>
          <w:rFonts w:hint="eastAsia" w:ascii="宋体" w:hAnsi="宋体" w:cs="宋体"/>
          <w:color w:val="auto"/>
          <w:highlight w:val="none"/>
          <w:lang w:val="en-US" w:eastAsia="zh-CN"/>
        </w:rPr>
        <w:t>其他资料（如有）</w:t>
      </w:r>
    </w:p>
    <w:p>
      <w:pPr>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pStyle w:val="15"/>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pPr>
        <w:widowControl w:val="0"/>
        <w:numPr>
          <w:ilvl w:val="0"/>
          <w:numId w:val="0"/>
        </w:numPr>
        <w:jc w:val="both"/>
        <w:rPr>
          <w:rFonts w:hint="eastAsia"/>
          <w:lang w:val="en-US" w:eastAsia="zh-CN"/>
        </w:rPr>
      </w:pPr>
    </w:p>
    <w:sectPr>
      <w:headerReference r:id="rId3" w:type="default"/>
      <w:footerReference r:id="rId4" w:type="default"/>
      <w:pgSz w:w="11906" w:h="16838"/>
      <w:pgMar w:top="1134" w:right="1134" w:bottom="1134" w:left="113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CE78F4F9-BCE2-42C2-88CA-B1D8A5200A75}"/>
  </w:font>
  <w:font w:name="Arial">
    <w:panose1 w:val="020B0604020202020204"/>
    <w:charset w:val="01"/>
    <w:family w:val="swiss"/>
    <w:pitch w:val="default"/>
    <w:sig w:usb0="E0002EFF" w:usb1="C000785B" w:usb2="00000009" w:usb3="00000000" w:csb0="400001FF" w:csb1="FFFF0000"/>
    <w:embedRegular r:id="rId2" w:fontKey="{A5C1B00E-F2F4-4D54-8617-2CB1D93AAC81}"/>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41B440E5-CCB2-4AE8-B286-FB06884BB74F}"/>
  </w:font>
  <w:font w:name="Symbol">
    <w:panose1 w:val="05050102010706020507"/>
    <w:charset w:val="02"/>
    <w:family w:val="roman"/>
    <w:pitch w:val="default"/>
    <w:sig w:usb0="00000000" w:usb1="00000000" w:usb2="00000000" w:usb3="00000000" w:csb0="80000000" w:csb1="00000000"/>
    <w:embedRegular r:id="rId4" w:fontKey="{9B7D7D98-334B-4F1E-B04E-F4C071B12C4D}"/>
  </w:font>
  <w:font w:name="Calibri">
    <w:panose1 w:val="020F0502020204030204"/>
    <w:charset w:val="00"/>
    <w:family w:val="swiss"/>
    <w:pitch w:val="default"/>
    <w:sig w:usb0="E4002EFF" w:usb1="C000247B" w:usb2="00000009" w:usb3="00000000" w:csb0="200001FF" w:csb1="00000000"/>
    <w:embedRegular r:id="rId5" w:fontKey="{859BFB1C-3938-47F5-B7D9-DE8F4C0E725D}"/>
  </w:font>
  <w:font w:name="仿宋_GB2312">
    <w:panose1 w:val="02010609030101010101"/>
    <w:charset w:val="86"/>
    <w:family w:val="modern"/>
    <w:pitch w:val="default"/>
    <w:sig w:usb0="00000001" w:usb1="080E0000" w:usb2="00000000" w:usb3="00000000" w:csb0="00040000" w:csb1="00000000"/>
    <w:embedRegular r:id="rId6" w:fontKey="{2C631832-8C4D-433C-9126-4249F161BF0B}"/>
  </w:font>
  <w:font w:name="Consolas">
    <w:panose1 w:val="020B0609020204030204"/>
    <w:charset w:val="00"/>
    <w:family w:val="modern"/>
    <w:pitch w:val="default"/>
    <w:sig w:usb0="E00006FF" w:usb1="0000FCFF" w:usb2="00000001" w:usb3="00000000" w:csb0="6000019F" w:csb1="DFD70000"/>
    <w:embedRegular r:id="rId7" w:fontKey="{849466A8-2DA4-4C0C-A07D-42B277B3922B}"/>
  </w:font>
  <w:font w:name="方正小标宋_GBK">
    <w:panose1 w:val="03000509000000000000"/>
    <w:charset w:val="86"/>
    <w:family w:val="auto"/>
    <w:pitch w:val="default"/>
    <w:sig w:usb0="00000001" w:usb1="080E0000" w:usb2="00000000" w:usb3="00000000" w:csb0="00040000" w:csb1="00000000"/>
    <w:embedRegular r:id="rId8" w:fontKey="{2A54284C-BE0D-46DE-A2DA-297E739532EE}"/>
  </w:font>
  <w:font w:name="MingLiU">
    <w:altName w:val="PMingLiU-ExtB"/>
    <w:panose1 w:val="02020509000000000000"/>
    <w:charset w:val="78"/>
    <w:family w:val="modern"/>
    <w:pitch w:val="default"/>
    <w:sig w:usb0="00000000" w:usb1="00000000" w:usb2="00000016" w:usb3="00000000" w:csb0="00100001" w:csb1="00000000"/>
    <w:embedRegular r:id="rId9" w:fontKey="{61377D06-44BB-44BF-9CC7-CE5590501AA7}"/>
  </w:font>
  <w:font w:name="仿宋">
    <w:panose1 w:val="02010609060101010101"/>
    <w:charset w:val="86"/>
    <w:family w:val="auto"/>
    <w:pitch w:val="default"/>
    <w:sig w:usb0="800002BF" w:usb1="38CF7CFA" w:usb2="00000016" w:usb3="00000000" w:csb0="00040001" w:csb1="00000000"/>
    <w:embedRegular r:id="rId10" w:fontKey="{EB5031E3-9DC6-4906-8E86-9A26E11EAD4B}"/>
  </w:font>
  <w:font w:name="TimesNewRoman">
    <w:altName w:val="Times New Roman"/>
    <w:panose1 w:val="02020603050405020304"/>
    <w:charset w:val="00"/>
    <w:family w:val="auto"/>
    <w:pitch w:val="default"/>
    <w:sig w:usb0="00000000" w:usb1="00000000" w:usb2="00000029" w:usb3="00000000" w:csb0="600001FF" w:csb1="FFFF0000"/>
    <w:embedRegular r:id="rId11" w:fontKey="{AF87C0D1-EBF2-4CED-A183-48E591FD645F}"/>
  </w:font>
  <w:font w:name="方正黑体_GBK">
    <w:panose1 w:val="03000509000000000000"/>
    <w:charset w:val="86"/>
    <w:family w:val="script"/>
    <w:pitch w:val="default"/>
    <w:sig w:usb0="00000001" w:usb1="080E0000" w:usb2="00000000" w:usb3="00000000" w:csb0="00040000" w:csb1="00000000"/>
    <w:embedRegular r:id="rId12" w:fontKey="{F733338B-A1BF-4A5C-AC19-3BCB98DCBDC9}"/>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0" distR="0" simplePos="0" relativeHeight="251659264" behindDoc="0" locked="0" layoutInCell="1" allowOverlap="1">
              <wp:simplePos x="0" y="0"/>
              <wp:positionH relativeFrom="margin">
                <wp:align>right</wp:align>
              </wp:positionH>
              <wp:positionV relativeFrom="paragraph">
                <wp:posOffset>0</wp:posOffset>
              </wp:positionV>
              <wp:extent cx="57785" cy="131445"/>
              <wp:effectExtent l="0" t="0" r="0" b="0"/>
              <wp:wrapNone/>
              <wp:docPr id="4097" name="文本框 1"/>
              <wp:cNvGraphicFramePr/>
              <a:graphic xmlns:a="http://schemas.openxmlformats.org/drawingml/2006/main">
                <a:graphicData uri="http://schemas.microsoft.com/office/word/2010/wordprocessingShape">
                  <wps:wsp>
                    <wps:cNvSpPr/>
                    <wps:spPr>
                      <a:xfrm>
                        <a:off x="0" y="0"/>
                        <a:ext cx="57785" cy="131445"/>
                      </a:xfrm>
                      <a:prstGeom prst="rect">
                        <a:avLst/>
                      </a:prstGeom>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wps:txbx>
                    <wps:bodyPr wrap="none" lIns="0" tIns="0" rIns="0" bIns="0" upright="1">
                      <a:spAutoFit/>
                    </wps:bodyPr>
                  </wps:wsp>
                </a:graphicData>
              </a:graphic>
            </wp:anchor>
          </w:drawing>
        </mc:Choice>
        <mc:Fallback>
          <w:pict>
            <v:rect id="文本框 1" o:spid="_x0000_s1026" o:spt="1" style="position:absolute;left:0pt;margin-top:0pt;height:10.35pt;width:4.55pt;mso-position-horizontal:right;mso-position-horizontal-relative:margin;mso-wrap-style:none;z-index:251659264;mso-width-relative:page;mso-height-relative:page;" filled="f" stroked="f" coordsize="21600,21600" o:gfxdata="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UWP1bRAAAAAgEAAA8AAAAAAAAAAQAgAAAAIgAAAGRycy9kb3ducmV2Lnht&#10;bFBLAQIUABQAAAAIAIdO4kA8R+uyxwEAAIQDAAAOAAAAAAAAAAEAIAAAACABAABkcnMvZTJvRG9j&#10;LnhtbFBLBQYAAAAABgAGAFkBAABZBQ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jc w:val="both"/>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D578C8"/>
    <w:multiLevelType w:val="singleLevel"/>
    <w:tmpl w:val="85D578C8"/>
    <w:lvl w:ilvl="0" w:tentative="0">
      <w:start w:val="1"/>
      <w:numFmt w:val="decimal"/>
      <w:lvlText w:val="%1."/>
      <w:lvlJc w:val="left"/>
      <w:pPr>
        <w:tabs>
          <w:tab w:val="left" w:pos="312"/>
        </w:tabs>
      </w:pPr>
    </w:lvl>
  </w:abstractNum>
  <w:abstractNum w:abstractNumId="1">
    <w:nsid w:val="E87FA2CA"/>
    <w:multiLevelType w:val="singleLevel"/>
    <w:tmpl w:val="E87FA2CA"/>
    <w:lvl w:ilvl="0" w:tentative="0">
      <w:start w:val="1"/>
      <w:numFmt w:val="decimal"/>
      <w:suff w:val="nothing"/>
      <w:lvlText w:val="%1、"/>
      <w:lvlJc w:val="left"/>
    </w:lvl>
  </w:abstractNum>
  <w:abstractNum w:abstractNumId="2">
    <w:nsid w:val="383E8600"/>
    <w:multiLevelType w:val="singleLevel"/>
    <w:tmpl w:val="383E8600"/>
    <w:lvl w:ilvl="0" w:tentative="0">
      <w:start w:val="1"/>
      <w:numFmt w:val="decimal"/>
      <w:suff w:val="nothing"/>
      <w:lvlText w:val="%1、"/>
      <w:lvlJc w:val="left"/>
    </w:lvl>
  </w:abstractNum>
  <w:abstractNum w:abstractNumId="3">
    <w:nsid w:val="58EAA583"/>
    <w:multiLevelType w:val="singleLevel"/>
    <w:tmpl w:val="58EAA583"/>
    <w:lvl w:ilvl="0" w:tentative="0">
      <w:start w:val="1"/>
      <w:numFmt w:val="decimal"/>
      <w:suff w:val="nothing"/>
      <w:lvlText w:val="%1、"/>
      <w:lvlJc w:val="left"/>
    </w:lvl>
  </w:abstractNum>
  <w:abstractNum w:abstractNumId="4">
    <w:nsid w:val="639BA596"/>
    <w:multiLevelType w:val="singleLevel"/>
    <w:tmpl w:val="639BA596"/>
    <w:lvl w:ilvl="0" w:tentative="0">
      <w:start w:val="1"/>
      <w:numFmt w:val="decimal"/>
      <w:suff w:val="nothing"/>
      <w:lvlText w:val="%1、"/>
      <w:lvlJc w:val="left"/>
    </w:lvl>
  </w:abstractNum>
  <w:abstractNum w:abstractNumId="5">
    <w:nsid w:val="7ECFBF99"/>
    <w:multiLevelType w:val="singleLevel"/>
    <w:tmpl w:val="7ECFBF99"/>
    <w:lvl w:ilvl="0" w:tentative="0">
      <w:start w:val="1"/>
      <w:numFmt w:val="chineseCounting"/>
      <w:suff w:val="nothing"/>
      <w:lvlText w:val="%1、"/>
      <w:lvlJc w:val="left"/>
      <w:rPr>
        <w:rFonts w:hint="eastAsia"/>
      </w:rPr>
    </w:lvl>
  </w:abstractNum>
  <w:num w:numId="1">
    <w:abstractNumId w:val="0"/>
  </w:num>
  <w:num w:numId="2">
    <w:abstractNumId w:val="3"/>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M5YTQzYjkxZmJlZDJmNjFhMTliZDRhOTlkN2U5MTAifQ=="/>
  </w:docVars>
  <w:rsids>
    <w:rsidRoot w:val="00000000"/>
    <w:rsid w:val="00844455"/>
    <w:rsid w:val="011D43D8"/>
    <w:rsid w:val="02285205"/>
    <w:rsid w:val="03204D48"/>
    <w:rsid w:val="05071501"/>
    <w:rsid w:val="05E27A84"/>
    <w:rsid w:val="068B3A75"/>
    <w:rsid w:val="0D3E7A96"/>
    <w:rsid w:val="0D784998"/>
    <w:rsid w:val="112F4685"/>
    <w:rsid w:val="13682C4E"/>
    <w:rsid w:val="143221C4"/>
    <w:rsid w:val="157D4AFF"/>
    <w:rsid w:val="16410364"/>
    <w:rsid w:val="174F4255"/>
    <w:rsid w:val="176348B2"/>
    <w:rsid w:val="17637014"/>
    <w:rsid w:val="17DC4A73"/>
    <w:rsid w:val="1833416F"/>
    <w:rsid w:val="19244BA8"/>
    <w:rsid w:val="19700944"/>
    <w:rsid w:val="19F00BB6"/>
    <w:rsid w:val="1AE57BC0"/>
    <w:rsid w:val="1B9E3D36"/>
    <w:rsid w:val="1C1C6D9C"/>
    <w:rsid w:val="1D00123D"/>
    <w:rsid w:val="24D653F1"/>
    <w:rsid w:val="257B6B20"/>
    <w:rsid w:val="27A2558F"/>
    <w:rsid w:val="283850E7"/>
    <w:rsid w:val="2A07700A"/>
    <w:rsid w:val="2C3D2BA7"/>
    <w:rsid w:val="2C927B49"/>
    <w:rsid w:val="30601707"/>
    <w:rsid w:val="30F2196E"/>
    <w:rsid w:val="32701DFC"/>
    <w:rsid w:val="33136A89"/>
    <w:rsid w:val="37955E55"/>
    <w:rsid w:val="38CF2505"/>
    <w:rsid w:val="39BF36D6"/>
    <w:rsid w:val="3F274700"/>
    <w:rsid w:val="3FB83028"/>
    <w:rsid w:val="45701CAF"/>
    <w:rsid w:val="458D5221"/>
    <w:rsid w:val="467879AF"/>
    <w:rsid w:val="47BF2AAB"/>
    <w:rsid w:val="47F535E2"/>
    <w:rsid w:val="48023CF9"/>
    <w:rsid w:val="48435459"/>
    <w:rsid w:val="48E45C8C"/>
    <w:rsid w:val="4998266E"/>
    <w:rsid w:val="49C50359"/>
    <w:rsid w:val="4AA173D4"/>
    <w:rsid w:val="4B5501F6"/>
    <w:rsid w:val="4BF6482D"/>
    <w:rsid w:val="4D027691"/>
    <w:rsid w:val="4D1F5D87"/>
    <w:rsid w:val="4D2168A6"/>
    <w:rsid w:val="4DF370B8"/>
    <w:rsid w:val="4E606B2D"/>
    <w:rsid w:val="501120A9"/>
    <w:rsid w:val="50FF7FE6"/>
    <w:rsid w:val="51181B78"/>
    <w:rsid w:val="51ED66EC"/>
    <w:rsid w:val="51F37CAF"/>
    <w:rsid w:val="52494F65"/>
    <w:rsid w:val="5272785F"/>
    <w:rsid w:val="5276140E"/>
    <w:rsid w:val="53B6795C"/>
    <w:rsid w:val="55361378"/>
    <w:rsid w:val="55AF082E"/>
    <w:rsid w:val="5A3C151E"/>
    <w:rsid w:val="5B5640A7"/>
    <w:rsid w:val="5D643795"/>
    <w:rsid w:val="5D7F0889"/>
    <w:rsid w:val="5DE92C5B"/>
    <w:rsid w:val="61701080"/>
    <w:rsid w:val="63692496"/>
    <w:rsid w:val="63846BFA"/>
    <w:rsid w:val="65DC4CFC"/>
    <w:rsid w:val="67B57CC9"/>
    <w:rsid w:val="68AF4DD8"/>
    <w:rsid w:val="693A45EC"/>
    <w:rsid w:val="69BF0B9E"/>
    <w:rsid w:val="69E918D0"/>
    <w:rsid w:val="69FC793D"/>
    <w:rsid w:val="6A5B7870"/>
    <w:rsid w:val="6AA858C3"/>
    <w:rsid w:val="6E427C55"/>
    <w:rsid w:val="6EA517A2"/>
    <w:rsid w:val="6EE9272D"/>
    <w:rsid w:val="6F0A18D8"/>
    <w:rsid w:val="70B7060E"/>
    <w:rsid w:val="719053E2"/>
    <w:rsid w:val="736359F4"/>
    <w:rsid w:val="741A5329"/>
    <w:rsid w:val="743C40D6"/>
    <w:rsid w:val="75644ADD"/>
    <w:rsid w:val="771C1EB7"/>
    <w:rsid w:val="77646A1F"/>
    <w:rsid w:val="777911F5"/>
    <w:rsid w:val="77BF5F9E"/>
    <w:rsid w:val="78782796"/>
    <w:rsid w:val="79B71CD4"/>
    <w:rsid w:val="7A6068FC"/>
    <w:rsid w:val="7BBC47E3"/>
    <w:rsid w:val="7C104BE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7"/>
    <w:autoRedefine/>
    <w:qFormat/>
    <w:uiPriority w:val="0"/>
    <w:pPr>
      <w:autoSpaceDE w:val="0"/>
      <w:autoSpaceDN w:val="0"/>
      <w:adjustRightInd w:val="0"/>
      <w:snapToGrid w:val="0"/>
      <w:spacing w:line="360" w:lineRule="auto"/>
      <w:ind w:left="3945" w:hanging="1320"/>
      <w:jc w:val="center"/>
      <w:outlineLvl w:val="0"/>
    </w:pPr>
    <w:rPr>
      <w:rFonts w:ascii="Times New Roman" w:hAnsi="Times New Roman" w:eastAsia="黑体" w:cs="Times New Roman"/>
      <w:sz w:val="44"/>
      <w:szCs w:val="44"/>
    </w:rPr>
  </w:style>
  <w:style w:type="paragraph" w:styleId="4">
    <w:name w:val="heading 2"/>
    <w:basedOn w:val="1"/>
    <w:next w:val="1"/>
    <w:link w:val="28"/>
    <w:autoRedefine/>
    <w:qFormat/>
    <w:uiPriority w:val="0"/>
    <w:pPr>
      <w:autoSpaceDE w:val="0"/>
      <w:autoSpaceDN w:val="0"/>
      <w:adjustRightInd w:val="0"/>
      <w:snapToGrid w:val="0"/>
      <w:spacing w:line="360" w:lineRule="auto"/>
      <w:jc w:val="left"/>
      <w:outlineLvl w:val="1"/>
    </w:pPr>
    <w:rPr>
      <w:rFonts w:ascii="仿宋_GB2312" w:hAnsi="Times New Roman" w:eastAsia="仿宋_GB2312" w:cs="Times New Roman"/>
      <w:b/>
      <w:spacing w:val="1"/>
      <w:w w:val="99"/>
      <w:kern w:val="0"/>
      <w:sz w:val="28"/>
      <w:szCs w:val="32"/>
    </w:rPr>
  </w:style>
  <w:style w:type="paragraph" w:styleId="5">
    <w:name w:val="heading 3"/>
    <w:basedOn w:val="1"/>
    <w:next w:val="1"/>
    <w:autoRedefine/>
    <w:qFormat/>
    <w:uiPriority w:val="0"/>
    <w:pPr>
      <w:keepNext/>
      <w:keepLines/>
      <w:spacing w:before="260" w:after="260" w:line="416" w:lineRule="auto"/>
      <w:outlineLvl w:val="2"/>
    </w:pPr>
    <w:rPr>
      <w:rFonts w:ascii="Times New Roman" w:hAnsi="Times New Roman" w:eastAsia="宋体" w:cs="Times New Roman"/>
      <w:b/>
      <w:bCs/>
      <w:sz w:val="32"/>
      <w:szCs w:val="32"/>
    </w:rPr>
  </w:style>
  <w:style w:type="character" w:default="1" w:styleId="18">
    <w:name w:val="Default Paragraph Font"/>
    <w:autoRedefine/>
    <w:qFormat/>
    <w:uiPriority w:val="0"/>
    <w:rPr>
      <w:rFonts w:ascii="Times New Roman" w:hAnsi="Times New Roman" w:eastAsia="宋体" w:cs="Times New Roman"/>
    </w:rPr>
  </w:style>
  <w:style w:type="table" w:default="1" w:styleId="16">
    <w:name w:val="Normal Table"/>
    <w:autoRedefine/>
    <w:qFormat/>
    <w:uiPriority w:val="0"/>
    <w:rPr>
      <w:rFonts w:ascii="Times New Roman" w:hAnsi="Times New Roman" w:eastAsia="宋体" w:cs="Times New Roman"/>
    </w:rPr>
    <w:tblPr>
      <w:tblCellMar>
        <w:top w:w="0" w:type="dxa"/>
        <w:left w:w="108" w:type="dxa"/>
        <w:bottom w:w="0" w:type="dxa"/>
        <w:right w:w="108" w:type="dxa"/>
      </w:tblCellMar>
    </w:tblPr>
  </w:style>
  <w:style w:type="paragraph" w:customStyle="1" w:styleId="2">
    <w:name w:val="Heading3"/>
    <w:basedOn w:val="1"/>
    <w:next w:val="1"/>
    <w:autoRedefine/>
    <w:qFormat/>
    <w:uiPriority w:val="0"/>
    <w:pPr>
      <w:spacing w:before="16"/>
      <w:jc w:val="left"/>
    </w:pPr>
    <w:rPr>
      <w:rFonts w:ascii="仿宋_GB2312" w:hAnsi="宋体" w:eastAsia="仿宋_GB2312" w:cs="仿宋_GB2312"/>
      <w:b/>
      <w:bCs/>
      <w:sz w:val="24"/>
      <w:szCs w:val="24"/>
    </w:rPr>
  </w:style>
  <w:style w:type="paragraph" w:styleId="6">
    <w:name w:val="Document Map"/>
    <w:basedOn w:val="1"/>
    <w:autoRedefine/>
    <w:qFormat/>
    <w:uiPriority w:val="0"/>
    <w:pPr>
      <w:shd w:val="clear" w:color="auto" w:fill="000080"/>
    </w:pPr>
    <w:rPr>
      <w:rFonts w:ascii="Times New Roman" w:hAnsi="Times New Roman" w:eastAsia="宋体" w:cs="Times New Roman"/>
    </w:rPr>
  </w:style>
  <w:style w:type="paragraph" w:styleId="7">
    <w:name w:val="Body Text 3"/>
    <w:basedOn w:val="1"/>
    <w:autoRedefine/>
    <w:qFormat/>
    <w:uiPriority w:val="0"/>
    <w:rPr>
      <w:rFonts w:ascii="宋体"/>
      <w:sz w:val="24"/>
      <w:szCs w:val="20"/>
    </w:rPr>
  </w:style>
  <w:style w:type="paragraph" w:styleId="8">
    <w:name w:val="Body Text"/>
    <w:basedOn w:val="1"/>
    <w:next w:val="9"/>
    <w:autoRedefine/>
    <w:unhideWhenUsed/>
    <w:qFormat/>
    <w:uiPriority w:val="99"/>
    <w:pPr>
      <w:spacing w:after="120" w:afterLines="0"/>
    </w:pPr>
  </w:style>
  <w:style w:type="paragraph" w:customStyle="1" w:styleId="9">
    <w:name w:val="目录 53"/>
    <w:next w:val="1"/>
    <w:autoRedefine/>
    <w:qFormat/>
    <w:uiPriority w:val="0"/>
    <w:pPr>
      <w:wordWrap w:val="0"/>
      <w:ind w:left="1275"/>
      <w:jc w:val="both"/>
    </w:pPr>
    <w:rPr>
      <w:rFonts w:ascii="Calibri" w:hAnsi="Calibri" w:eastAsia="宋体" w:cs="Times New Roman"/>
      <w:sz w:val="21"/>
      <w:lang w:val="en-US" w:eastAsia="zh-CN" w:bidi="ar-SA"/>
    </w:rPr>
  </w:style>
  <w:style w:type="paragraph" w:styleId="10">
    <w:name w:val="Body Text Indent"/>
    <w:basedOn w:val="1"/>
    <w:link w:val="29"/>
    <w:autoRedefine/>
    <w:qFormat/>
    <w:uiPriority w:val="0"/>
    <w:pPr>
      <w:spacing w:after="120"/>
      <w:ind w:left="420" w:leftChars="200"/>
    </w:pPr>
    <w:rPr>
      <w:rFonts w:ascii="Times New Roman" w:hAnsi="Times New Roman" w:eastAsia="宋体" w:cs="Times New Roman"/>
    </w:rPr>
  </w:style>
  <w:style w:type="paragraph" w:styleId="11">
    <w:name w:val="footer"/>
    <w:basedOn w:val="1"/>
    <w:autoRedefine/>
    <w:qFormat/>
    <w:uiPriority w:val="0"/>
    <w:pPr>
      <w:tabs>
        <w:tab w:val="center" w:pos="4153"/>
        <w:tab w:val="right" w:pos="8306"/>
      </w:tabs>
      <w:snapToGrid w:val="0"/>
      <w:jc w:val="left"/>
    </w:pPr>
    <w:rPr>
      <w:rFonts w:ascii="Times New Roman" w:hAnsi="Times New Roman" w:eastAsia="宋体" w:cs="Times New Roman"/>
      <w:sz w:val="18"/>
      <w:szCs w:val="18"/>
    </w:rPr>
  </w:style>
  <w:style w:type="paragraph" w:styleId="12">
    <w:name w:val="header"/>
    <w:basedOn w:val="1"/>
    <w:autoRedefine/>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13">
    <w:name w:val="Body Text 2"/>
    <w:basedOn w:val="1"/>
    <w:autoRedefine/>
    <w:qFormat/>
    <w:uiPriority w:val="0"/>
    <w:pPr>
      <w:spacing w:after="120" w:afterLines="0" w:line="480" w:lineRule="auto"/>
    </w:pPr>
    <w:rPr>
      <w:rFonts w:ascii="Times New Roman" w:hAnsi="Times New Roman" w:eastAsia="宋体" w:cs="Times New Roman"/>
      <w:kern w:val="0"/>
      <w:sz w:val="20"/>
      <w:szCs w:val="20"/>
    </w:rPr>
  </w:style>
  <w:style w:type="paragraph" w:styleId="14">
    <w:name w:val="Normal (Web)"/>
    <w:basedOn w:val="1"/>
    <w:autoRedefine/>
    <w:qFormat/>
    <w:uiPriority w:val="0"/>
    <w:rPr>
      <w:sz w:val="24"/>
    </w:rPr>
  </w:style>
  <w:style w:type="paragraph" w:styleId="15">
    <w:name w:val="Body Text First Indent 2"/>
    <w:basedOn w:val="10"/>
    <w:autoRedefine/>
    <w:qFormat/>
    <w:uiPriority w:val="0"/>
    <w:pPr>
      <w:ind w:left="0" w:firstLine="420"/>
    </w:pPr>
    <w:rPr>
      <w:rFonts w:ascii="仿宋_GB2312" w:eastAsia="仿宋_GB2312" w:cs="仿宋_GB2312"/>
      <w:sz w:val="32"/>
      <w:szCs w:val="32"/>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autoRedefine/>
    <w:qFormat/>
    <w:uiPriority w:val="0"/>
    <w:rPr>
      <w:rFonts w:ascii="Times New Roman" w:hAnsi="Times New Roman" w:eastAsia="宋体" w:cs="Times New Roman"/>
      <w:b/>
    </w:rPr>
  </w:style>
  <w:style w:type="character" w:styleId="20">
    <w:name w:val="FollowedHyperlink"/>
    <w:basedOn w:val="18"/>
    <w:autoRedefine/>
    <w:qFormat/>
    <w:uiPriority w:val="0"/>
    <w:rPr>
      <w:rFonts w:ascii="Times New Roman" w:hAnsi="Times New Roman" w:eastAsia="宋体" w:cs="Times New Roman"/>
      <w:color w:val="4D7AD8"/>
      <w:u w:val="none"/>
    </w:rPr>
  </w:style>
  <w:style w:type="character" w:styleId="21">
    <w:name w:val="Emphasis"/>
    <w:basedOn w:val="18"/>
    <w:autoRedefine/>
    <w:qFormat/>
    <w:uiPriority w:val="0"/>
    <w:rPr>
      <w:i/>
    </w:rPr>
  </w:style>
  <w:style w:type="character" w:styleId="22">
    <w:name w:val="HTML Definition"/>
    <w:basedOn w:val="18"/>
    <w:autoRedefine/>
    <w:qFormat/>
    <w:uiPriority w:val="0"/>
    <w:rPr>
      <w:rFonts w:ascii="Times New Roman" w:hAnsi="Times New Roman" w:eastAsia="宋体" w:cs="Times New Roman"/>
      <w:i/>
    </w:rPr>
  </w:style>
  <w:style w:type="character" w:styleId="23">
    <w:name w:val="Hyperlink"/>
    <w:basedOn w:val="18"/>
    <w:autoRedefine/>
    <w:qFormat/>
    <w:uiPriority w:val="0"/>
    <w:rPr>
      <w:rFonts w:ascii="Times New Roman" w:hAnsi="Times New Roman" w:eastAsia="宋体" w:cs="Times New Roman"/>
      <w:color w:val="4D7AD8"/>
      <w:u w:val="none"/>
    </w:rPr>
  </w:style>
  <w:style w:type="character" w:styleId="24">
    <w:name w:val="HTML Code"/>
    <w:basedOn w:val="18"/>
    <w:autoRedefine/>
    <w:qFormat/>
    <w:uiPriority w:val="0"/>
    <w:rPr>
      <w:rFonts w:hint="default" w:ascii="Consolas" w:hAnsi="Consolas" w:eastAsia="Consolas" w:cs="Consolas"/>
      <w:sz w:val="21"/>
      <w:szCs w:val="21"/>
    </w:rPr>
  </w:style>
  <w:style w:type="character" w:styleId="25">
    <w:name w:val="HTML Keyboard"/>
    <w:basedOn w:val="18"/>
    <w:autoRedefine/>
    <w:qFormat/>
    <w:uiPriority w:val="0"/>
    <w:rPr>
      <w:rFonts w:ascii="Consolas" w:hAnsi="Consolas" w:eastAsia="Consolas" w:cs="Consolas"/>
      <w:sz w:val="21"/>
      <w:szCs w:val="21"/>
    </w:rPr>
  </w:style>
  <w:style w:type="character" w:styleId="26">
    <w:name w:val="HTML Sample"/>
    <w:basedOn w:val="18"/>
    <w:autoRedefine/>
    <w:qFormat/>
    <w:uiPriority w:val="0"/>
    <w:rPr>
      <w:rFonts w:hint="default" w:ascii="Consolas" w:hAnsi="Consolas" w:eastAsia="Consolas" w:cs="Consolas"/>
      <w:sz w:val="21"/>
      <w:szCs w:val="21"/>
    </w:rPr>
  </w:style>
  <w:style w:type="character" w:customStyle="1" w:styleId="27">
    <w:name w:val="标题 1 Char"/>
    <w:link w:val="3"/>
    <w:autoRedefine/>
    <w:qFormat/>
    <w:uiPriority w:val="0"/>
    <w:rPr>
      <w:rFonts w:ascii="Times New Roman" w:hAnsi="Times New Roman" w:eastAsia="黑体" w:cs="Times New Roman"/>
      <w:kern w:val="2"/>
      <w:sz w:val="44"/>
      <w:szCs w:val="44"/>
      <w:lang w:val="en-US" w:eastAsia="zh-CN" w:bidi="ar-SA"/>
    </w:rPr>
  </w:style>
  <w:style w:type="character" w:customStyle="1" w:styleId="28">
    <w:name w:val="标题 2 Char"/>
    <w:link w:val="4"/>
    <w:autoRedefine/>
    <w:qFormat/>
    <w:uiPriority w:val="0"/>
    <w:rPr>
      <w:rFonts w:ascii="仿宋_GB2312" w:hAnsi="Times New Roman" w:eastAsia="仿宋_GB2312" w:cs="Times New Roman"/>
      <w:b/>
      <w:spacing w:val="1"/>
      <w:w w:val="99"/>
      <w:sz w:val="28"/>
      <w:szCs w:val="32"/>
      <w:lang w:val="en-US" w:eastAsia="zh-CN" w:bidi="ar-SA"/>
    </w:rPr>
  </w:style>
  <w:style w:type="character" w:customStyle="1" w:styleId="29">
    <w:name w:val="正文文本缩进 Char"/>
    <w:basedOn w:val="18"/>
    <w:link w:val="10"/>
    <w:autoRedefine/>
    <w:qFormat/>
    <w:uiPriority w:val="0"/>
    <w:rPr>
      <w:rFonts w:ascii="Times New Roman" w:hAnsi="Times New Roman" w:eastAsia="宋体" w:cs="Times New Roman"/>
      <w:kern w:val="2"/>
      <w:sz w:val="21"/>
      <w:szCs w:val="24"/>
      <w:lang w:val="en-US" w:eastAsia="zh-CN" w:bidi="ar-SA"/>
    </w:rPr>
  </w:style>
  <w:style w:type="character" w:customStyle="1" w:styleId="30">
    <w:name w:val="ant-tree-iconele"/>
    <w:basedOn w:val="18"/>
    <w:autoRedefine/>
    <w:qFormat/>
    <w:uiPriority w:val="0"/>
    <w:rPr>
      <w:rFonts w:ascii="Times New Roman" w:hAnsi="Times New Roman" w:eastAsia="宋体" w:cs="Times New Roman"/>
    </w:rPr>
  </w:style>
  <w:style w:type="character" w:customStyle="1" w:styleId="31">
    <w:name w:val="button1"/>
    <w:basedOn w:val="18"/>
    <w:autoRedefine/>
    <w:qFormat/>
    <w:uiPriority w:val="0"/>
    <w:rPr>
      <w:rFonts w:ascii="Times New Roman" w:hAnsi="Times New Roman" w:eastAsia="宋体" w:cs="Times New Roman"/>
    </w:rPr>
  </w:style>
  <w:style w:type="character" w:customStyle="1" w:styleId="32">
    <w:name w:val="font71"/>
    <w:basedOn w:val="18"/>
    <w:autoRedefine/>
    <w:qFormat/>
    <w:uiPriority w:val="0"/>
    <w:rPr>
      <w:rFonts w:hint="eastAsia" w:ascii="宋体" w:hAnsi="宋体" w:eastAsia="宋体" w:cs="宋体"/>
      <w:color w:val="1F1F1E"/>
      <w:sz w:val="24"/>
      <w:szCs w:val="24"/>
      <w:u w:val="none"/>
    </w:rPr>
  </w:style>
  <w:style w:type="character" w:customStyle="1" w:styleId="33">
    <w:name w:val="cke_path_empty"/>
    <w:basedOn w:val="18"/>
    <w:autoRedefine/>
    <w:qFormat/>
    <w:uiPriority w:val="0"/>
    <w:rPr>
      <w:rFonts w:ascii="Times New Roman" w:hAnsi="Times New Roman" w:eastAsia="宋体" w:cs="Times New Roman"/>
      <w:b/>
      <w:color w:val="484848"/>
      <w:sz w:val="16"/>
      <w:szCs w:val="16"/>
      <w:u w:val="none"/>
    </w:rPr>
  </w:style>
  <w:style w:type="character" w:customStyle="1" w:styleId="34">
    <w:name w:val="ant-tree-switcher6"/>
    <w:basedOn w:val="18"/>
    <w:autoRedefine/>
    <w:qFormat/>
    <w:uiPriority w:val="0"/>
    <w:rPr>
      <w:rFonts w:ascii="Times New Roman" w:hAnsi="Times New Roman" w:eastAsia="宋体" w:cs="Times New Roman"/>
    </w:rPr>
  </w:style>
  <w:style w:type="character" w:customStyle="1" w:styleId="35">
    <w:name w:val="passed-node"/>
    <w:basedOn w:val="18"/>
    <w:autoRedefine/>
    <w:qFormat/>
    <w:uiPriority w:val="0"/>
    <w:rPr>
      <w:rFonts w:ascii="Times New Roman" w:hAnsi="Times New Roman" w:eastAsia="宋体" w:cs="Times New Roman"/>
      <w:bdr w:val="single" w:color="49A8D4" w:sz="6" w:space="0"/>
      <w:shd w:val="clear" w:color="auto" w:fill="A9E3FF"/>
    </w:rPr>
  </w:style>
  <w:style w:type="character" w:customStyle="1" w:styleId="36">
    <w:name w:val="ant-select-tree-iconele"/>
    <w:basedOn w:val="18"/>
    <w:autoRedefine/>
    <w:qFormat/>
    <w:uiPriority w:val="0"/>
    <w:rPr>
      <w:rFonts w:ascii="Times New Roman" w:hAnsi="Times New Roman" w:eastAsia="宋体" w:cs="Times New Roman"/>
    </w:rPr>
  </w:style>
  <w:style w:type="character" w:customStyle="1" w:styleId="37">
    <w:name w:val="font51"/>
    <w:basedOn w:val="18"/>
    <w:autoRedefine/>
    <w:qFormat/>
    <w:uiPriority w:val="0"/>
    <w:rPr>
      <w:rFonts w:hint="eastAsia" w:ascii="宋体" w:hAnsi="宋体" w:eastAsia="宋体" w:cs="宋体"/>
      <w:color w:val="000000"/>
      <w:sz w:val="22"/>
      <w:szCs w:val="22"/>
      <w:u w:val="none"/>
      <w:vertAlign w:val="superscript"/>
    </w:rPr>
  </w:style>
  <w:style w:type="character" w:customStyle="1" w:styleId="38">
    <w:name w:val="ant-select-tree-checkbox2"/>
    <w:basedOn w:val="18"/>
    <w:autoRedefine/>
    <w:qFormat/>
    <w:uiPriority w:val="0"/>
    <w:rPr>
      <w:rFonts w:ascii="Times New Roman" w:hAnsi="Times New Roman" w:eastAsia="宋体" w:cs="Times New Roman"/>
    </w:rPr>
  </w:style>
  <w:style w:type="character" w:customStyle="1" w:styleId="39">
    <w:name w:val="tmpztreemove_arrow"/>
    <w:basedOn w:val="18"/>
    <w:autoRedefine/>
    <w:qFormat/>
    <w:uiPriority w:val="0"/>
    <w:rPr>
      <w:rFonts w:ascii="Times New Roman" w:hAnsi="Times New Roman" w:eastAsia="宋体" w:cs="Times New Roman"/>
    </w:rPr>
  </w:style>
  <w:style w:type="character" w:customStyle="1" w:styleId="40">
    <w:name w:val="button"/>
    <w:basedOn w:val="18"/>
    <w:autoRedefine/>
    <w:qFormat/>
    <w:uiPriority w:val="0"/>
    <w:rPr>
      <w:rFonts w:ascii="Times New Roman" w:hAnsi="Times New Roman" w:eastAsia="宋体" w:cs="Times New Roman"/>
    </w:rPr>
  </w:style>
  <w:style w:type="character" w:customStyle="1" w:styleId="41">
    <w:name w:val="cke_colorbox2"/>
    <w:basedOn w:val="18"/>
    <w:autoRedefine/>
    <w:qFormat/>
    <w:uiPriority w:val="0"/>
    <w:rPr>
      <w:rFonts w:ascii="Times New Roman" w:hAnsi="Times New Roman" w:eastAsia="宋体" w:cs="Times New Roman"/>
    </w:rPr>
  </w:style>
  <w:style w:type="character" w:customStyle="1" w:styleId="42">
    <w:name w:val="ant-select-tree-checkbox"/>
    <w:basedOn w:val="18"/>
    <w:autoRedefine/>
    <w:qFormat/>
    <w:uiPriority w:val="0"/>
    <w:rPr>
      <w:rFonts w:ascii="Times New Roman" w:hAnsi="Times New Roman" w:eastAsia="宋体" w:cs="Times New Roman"/>
    </w:rPr>
  </w:style>
  <w:style w:type="character" w:customStyle="1" w:styleId="43">
    <w:name w:val="first-of-type1"/>
    <w:basedOn w:val="18"/>
    <w:autoRedefine/>
    <w:qFormat/>
    <w:uiPriority w:val="0"/>
    <w:rPr>
      <w:rFonts w:ascii="Times New Roman" w:hAnsi="Times New Roman" w:eastAsia="宋体" w:cs="Times New Roman"/>
      <w:color w:val="FF0000"/>
    </w:rPr>
  </w:style>
  <w:style w:type="character" w:customStyle="1" w:styleId="44">
    <w:name w:val="ant-tree-checkbox6"/>
    <w:basedOn w:val="18"/>
    <w:autoRedefine/>
    <w:qFormat/>
    <w:uiPriority w:val="0"/>
    <w:rPr>
      <w:rFonts w:ascii="Times New Roman" w:hAnsi="Times New Roman" w:eastAsia="宋体" w:cs="Times New Roman"/>
    </w:rPr>
  </w:style>
  <w:style w:type="character" w:customStyle="1" w:styleId="45">
    <w:name w:val="cke_colorbox5"/>
    <w:basedOn w:val="18"/>
    <w:autoRedefine/>
    <w:qFormat/>
    <w:uiPriority w:val="0"/>
    <w:rPr>
      <w:rFonts w:ascii="Times New Roman" w:hAnsi="Times New Roman" w:eastAsia="宋体" w:cs="Times New Roman"/>
      <w:bdr w:val="single" w:color="808080" w:sz="6" w:space="0"/>
    </w:rPr>
  </w:style>
  <w:style w:type="character" w:customStyle="1" w:styleId="46">
    <w:name w:val="not-pass-node"/>
    <w:basedOn w:val="18"/>
    <w:autoRedefine/>
    <w:qFormat/>
    <w:uiPriority w:val="0"/>
    <w:rPr>
      <w:rFonts w:ascii="Times New Roman" w:hAnsi="Times New Roman" w:eastAsia="宋体" w:cs="Times New Roman"/>
      <w:bdr w:val="single" w:color="5ABD6B" w:sz="6" w:space="0"/>
      <w:shd w:val="clear" w:color="auto" w:fill="BFF3C3"/>
    </w:rPr>
  </w:style>
  <w:style w:type="character" w:customStyle="1" w:styleId="47">
    <w:name w:val="auto-pass-node"/>
    <w:basedOn w:val="18"/>
    <w:autoRedefine/>
    <w:qFormat/>
    <w:uiPriority w:val="0"/>
    <w:rPr>
      <w:rFonts w:ascii="Times New Roman" w:hAnsi="Times New Roman" w:eastAsia="宋体" w:cs="Times New Roman"/>
      <w:bdr w:val="single" w:color="DC4446" w:sz="6" w:space="0"/>
      <w:shd w:val="clear" w:color="auto" w:fill="A9E2FF"/>
    </w:rPr>
  </w:style>
  <w:style w:type="character" w:customStyle="1" w:styleId="48">
    <w:name w:val="current-node"/>
    <w:basedOn w:val="18"/>
    <w:autoRedefine/>
    <w:qFormat/>
    <w:uiPriority w:val="0"/>
    <w:rPr>
      <w:rFonts w:ascii="Times New Roman" w:hAnsi="Times New Roman" w:eastAsia="宋体" w:cs="Times New Roman"/>
      <w:bdr w:val="single" w:color="F5B87B" w:sz="6" w:space="0"/>
      <w:shd w:val="clear" w:color="auto" w:fill="FFE8CC"/>
    </w:rPr>
  </w:style>
  <w:style w:type="character" w:customStyle="1" w:styleId="49">
    <w:name w:val="cke_notification_progress"/>
    <w:basedOn w:val="18"/>
    <w:autoRedefine/>
    <w:qFormat/>
    <w:uiPriority w:val="0"/>
    <w:rPr>
      <w:rFonts w:ascii="Times New Roman" w:hAnsi="Times New Roman" w:eastAsia="宋体" w:cs="Times New Roman"/>
      <w:shd w:val="clear" w:color="auto" w:fill="0F74A8"/>
    </w:rPr>
  </w:style>
  <w:style w:type="character" w:customStyle="1" w:styleId="50">
    <w:name w:val="ant-tree-switcher"/>
    <w:basedOn w:val="18"/>
    <w:autoRedefine/>
    <w:qFormat/>
    <w:uiPriority w:val="0"/>
    <w:rPr>
      <w:rFonts w:ascii="Times New Roman" w:hAnsi="Times New Roman" w:eastAsia="宋体" w:cs="Times New Roman"/>
    </w:rPr>
  </w:style>
  <w:style w:type="character" w:customStyle="1" w:styleId="51">
    <w:name w:val="cke_path_empty2"/>
    <w:basedOn w:val="18"/>
    <w:autoRedefine/>
    <w:qFormat/>
    <w:uiPriority w:val="0"/>
    <w:rPr>
      <w:rFonts w:ascii="Times New Roman" w:hAnsi="Times New Roman" w:eastAsia="宋体" w:cs="Times New Roman"/>
      <w:b/>
      <w:color w:val="484848"/>
      <w:sz w:val="16"/>
      <w:szCs w:val="16"/>
      <w:u w:val="none"/>
    </w:rPr>
  </w:style>
  <w:style w:type="character" w:customStyle="1" w:styleId="52">
    <w:name w:val="ant-select-tree-switcher"/>
    <w:basedOn w:val="18"/>
    <w:autoRedefine/>
    <w:qFormat/>
    <w:uiPriority w:val="0"/>
    <w:rPr>
      <w:rFonts w:ascii="Times New Roman" w:hAnsi="Times New Roman" w:eastAsia="宋体" w:cs="Times New Roman"/>
    </w:rPr>
  </w:style>
  <w:style w:type="character" w:customStyle="1" w:styleId="53">
    <w:name w:val="cke_dialog_ui_button2"/>
    <w:basedOn w:val="18"/>
    <w:autoRedefine/>
    <w:qFormat/>
    <w:uiPriority w:val="0"/>
    <w:rPr>
      <w:rFonts w:ascii="Times New Roman" w:hAnsi="Times New Roman" w:eastAsia="宋体" w:cs="Times New Roman"/>
    </w:rPr>
  </w:style>
  <w:style w:type="character" w:customStyle="1" w:styleId="54">
    <w:name w:val="cke_dialog_ui_button"/>
    <w:basedOn w:val="18"/>
    <w:autoRedefine/>
    <w:qFormat/>
    <w:uiPriority w:val="0"/>
    <w:rPr>
      <w:rFonts w:ascii="Times New Roman" w:hAnsi="Times New Roman" w:eastAsia="宋体" w:cs="Times New Roman"/>
    </w:rPr>
  </w:style>
  <w:style w:type="character" w:customStyle="1" w:styleId="55">
    <w:name w:val="ant-radio+*"/>
    <w:basedOn w:val="18"/>
    <w:autoRedefine/>
    <w:qFormat/>
    <w:uiPriority w:val="0"/>
    <w:rPr>
      <w:rFonts w:ascii="Times New Roman" w:hAnsi="Times New Roman" w:eastAsia="宋体" w:cs="Times New Roman"/>
    </w:rPr>
  </w:style>
  <w:style w:type="character" w:customStyle="1" w:styleId="56">
    <w:name w:val="wea-thumbnails-doc-content-subtitle"/>
    <w:basedOn w:val="18"/>
    <w:autoRedefine/>
    <w:qFormat/>
    <w:uiPriority w:val="0"/>
    <w:rPr>
      <w:rFonts w:ascii="Times New Roman" w:hAnsi="Times New Roman" w:eastAsia="宋体" w:cs="Times New Roman"/>
      <w:color w:val="9A9A9A"/>
    </w:rPr>
  </w:style>
  <w:style w:type="character" w:customStyle="1" w:styleId="57">
    <w:name w:val="font41"/>
    <w:basedOn w:val="18"/>
    <w:autoRedefine/>
    <w:qFormat/>
    <w:uiPriority w:val="0"/>
    <w:rPr>
      <w:rFonts w:hint="eastAsia" w:ascii="宋体" w:hAnsi="宋体" w:eastAsia="宋体" w:cs="宋体"/>
      <w:color w:val="000000"/>
      <w:sz w:val="24"/>
      <w:szCs w:val="24"/>
      <w:u w:val="none"/>
    </w:rPr>
  </w:style>
  <w:style w:type="character" w:customStyle="1" w:styleId="58">
    <w:name w:val="first-of-type"/>
    <w:basedOn w:val="18"/>
    <w:autoRedefine/>
    <w:qFormat/>
    <w:uiPriority w:val="0"/>
    <w:rPr>
      <w:rFonts w:ascii="Times New Roman" w:hAnsi="Times New Roman" w:eastAsia="宋体" w:cs="Times New Roman"/>
      <w:color w:val="FF0000"/>
    </w:rPr>
  </w:style>
  <w:style w:type="character" w:customStyle="1" w:styleId="59">
    <w:name w:val="font61"/>
    <w:basedOn w:val="18"/>
    <w:autoRedefine/>
    <w:qFormat/>
    <w:uiPriority w:val="0"/>
    <w:rPr>
      <w:rFonts w:hint="eastAsia" w:ascii="宋体" w:hAnsi="宋体" w:eastAsia="宋体" w:cs="宋体"/>
      <w:color w:val="333333"/>
      <w:sz w:val="24"/>
      <w:szCs w:val="24"/>
      <w:u w:val="none"/>
    </w:rPr>
  </w:style>
  <w:style w:type="character" w:customStyle="1" w:styleId="60">
    <w:name w:val="cke_colorbox3"/>
    <w:basedOn w:val="18"/>
    <w:autoRedefine/>
    <w:qFormat/>
    <w:uiPriority w:val="0"/>
    <w:rPr>
      <w:rFonts w:ascii="Times New Roman" w:hAnsi="Times New Roman" w:eastAsia="宋体" w:cs="Times New Roman"/>
    </w:rPr>
  </w:style>
  <w:style w:type="character" w:customStyle="1" w:styleId="61">
    <w:name w:val="cke_colorbox4"/>
    <w:basedOn w:val="18"/>
    <w:autoRedefine/>
    <w:qFormat/>
    <w:uiPriority w:val="0"/>
    <w:rPr>
      <w:rFonts w:ascii="Times New Roman" w:hAnsi="Times New Roman" w:eastAsia="宋体" w:cs="Times New Roman"/>
    </w:rPr>
  </w:style>
  <w:style w:type="paragraph" w:customStyle="1" w:styleId="62">
    <w:name w:val="Other|1"/>
    <w:basedOn w:val="1"/>
    <w:autoRedefine/>
    <w:qFormat/>
    <w:uiPriority w:val="0"/>
    <w:pPr>
      <w:widowControl w:val="0"/>
      <w:shd w:val="clear" w:color="auto" w:fill="auto"/>
      <w:ind w:firstLine="140"/>
    </w:pPr>
    <w:rPr>
      <w:rFonts w:ascii="Times New Roman" w:hAnsi="Times New Roman" w:eastAsia="宋体" w:cs="Times New Roman"/>
      <w:sz w:val="19"/>
      <w:szCs w:val="19"/>
      <w:u w:val="none"/>
      <w:shd w:val="clear" w:color="auto" w:fill="auto"/>
      <w:lang w:val="zh-TW" w:eastAsia="zh-TW" w:bidi="zh-TW"/>
    </w:rPr>
  </w:style>
  <w:style w:type="paragraph" w:customStyle="1" w:styleId="63">
    <w:name w:val=" Char Char Char1 Char Char Char Char"/>
    <w:basedOn w:val="6"/>
    <w:next w:val="5"/>
    <w:autoRedefine/>
    <w:qFormat/>
    <w:uiPriority w:val="0"/>
    <w:pPr>
      <w:adjustRightInd w:val="0"/>
      <w:spacing w:line="600" w:lineRule="exact"/>
      <w:jc w:val="center"/>
      <w:outlineLvl w:val="2"/>
    </w:pPr>
    <w:rPr>
      <w:rFonts w:ascii="Times New Roman" w:hAnsi="Times New Roman" w:eastAsia="宋体" w:cs="Times New Roman"/>
      <w:kern w:val="0"/>
      <w:sz w:val="24"/>
      <w:szCs w:val="20"/>
    </w:rPr>
  </w:style>
  <w:style w:type="paragraph" w:customStyle="1" w:styleId="64">
    <w:name w:val="Other|2"/>
    <w:basedOn w:val="1"/>
    <w:autoRedefine/>
    <w:qFormat/>
    <w:uiPriority w:val="0"/>
    <w:pPr>
      <w:widowControl w:val="0"/>
      <w:shd w:val="clear" w:color="auto" w:fill="auto"/>
      <w:jc w:val="center"/>
    </w:pPr>
    <w:rPr>
      <w:rFonts w:ascii="宋体" w:hAnsi="宋体" w:eastAsia="宋体" w:cs="宋体"/>
      <w:u w:val="none"/>
      <w:shd w:val="clear" w:color="auto" w:fill="auto"/>
      <w:lang w:val="zh-TW" w:eastAsia="zh-TW" w:bidi="zh-TW"/>
    </w:rPr>
  </w:style>
  <w:style w:type="paragraph" w:customStyle="1" w:styleId="65">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22</Pages>
  <Words>9328</Words>
  <Characters>9599</Characters>
  <Paragraphs>653</Paragraphs>
  <TotalTime>12</TotalTime>
  <ScaleCrop>false</ScaleCrop>
  <LinksUpToDate>false</LinksUpToDate>
  <CharactersWithSpaces>10775</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2015-11-04T02:50:00Z</dcterms:created>
  <dc:creator>user</dc:creator>
  <cp:lastModifiedBy>董文成</cp:lastModifiedBy>
  <cp:lastPrinted>2022-04-26T08:06:00Z</cp:lastPrinted>
  <dcterms:modified xsi:type="dcterms:W3CDTF">2024-01-04T09:16:44Z</dcterms:modified>
  <dc:title>明月小区建设工程特殊检测</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KSOSaveFontToCloudKey">
    <vt:lpwstr>264003594_btnclosed</vt:lpwstr>
  </property>
  <property fmtid="{D5CDD505-2E9C-101B-9397-08002B2CF9AE}" pid="4" name="ICV">
    <vt:lpwstr>33763113728B490D8E37A80E12060B0E_13</vt:lpwstr>
  </property>
</Properties>
</file>